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黑体_GBK" w:hAnsi="方正黑体_GBK" w:eastAsia="方正黑体_GBK" w:cs="方正黑体_GBK"/>
          <w:spacing w:val="-5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5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黑体_GBK" w:hAnsi="方正黑体_GBK" w:eastAsia="方正黑体_GBK" w:cs="方正黑体_GBK"/>
          <w:spacing w:val="-5"/>
          <w:sz w:val="32"/>
          <w:szCs w:val="32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线下综合实践考核内容及标准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045"/>
        <w:gridCol w:w="1507"/>
        <w:gridCol w:w="3479"/>
        <w:gridCol w:w="1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类别</w:t>
            </w:r>
          </w:p>
        </w:tc>
        <w:tc>
          <w:tcPr>
            <w:tcW w:w="10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形式</w:t>
            </w:r>
          </w:p>
        </w:tc>
        <w:tc>
          <w:tcPr>
            <w:tcW w:w="160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内容</w:t>
            </w:r>
          </w:p>
        </w:tc>
        <w:tc>
          <w:tcPr>
            <w:tcW w:w="375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标准</w:t>
            </w:r>
          </w:p>
        </w:tc>
        <w:tc>
          <w:tcPr>
            <w:tcW w:w="1122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8"/>
                <w:szCs w:val="28"/>
              </w:rPr>
              <w:t>综合理论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8"/>
                <w:szCs w:val="28"/>
              </w:rPr>
              <w:t>笔试</w:t>
            </w:r>
          </w:p>
        </w:tc>
        <w:tc>
          <w:tcPr>
            <w:tcW w:w="1604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理论知识</w:t>
            </w:r>
          </w:p>
        </w:tc>
        <w:tc>
          <w:tcPr>
            <w:tcW w:w="3750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能够正确回答试卷问题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sz w:val="28"/>
                <w:szCs w:val="28"/>
              </w:rPr>
              <w:t>实践能力</w:t>
            </w:r>
          </w:p>
        </w:tc>
        <w:tc>
          <w:tcPr>
            <w:tcW w:w="109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面试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结构化</w:t>
            </w:r>
          </w:p>
        </w:tc>
        <w:tc>
          <w:tcPr>
            <w:tcW w:w="3750" w:type="dxa"/>
            <w:noWrap w:val="0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回答内容契合题目、语言表达流利、思维严谨、符合逻辑和仪表仪态等。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pacing w:val="-5"/>
                <w:sz w:val="28"/>
                <w:szCs w:val="28"/>
                <w:lang w:val="en-US" w:eastAsia="zh-CN"/>
              </w:rPr>
            </w:pPr>
          </w:p>
        </w:tc>
        <w:tc>
          <w:tcPr>
            <w:tcW w:w="1096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师范技能</w:t>
            </w:r>
          </w:p>
        </w:tc>
        <w:tc>
          <w:tcPr>
            <w:tcW w:w="3750" w:type="dxa"/>
            <w:noWrap w:val="0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遵循体育课堂教学常规、口令准确响亮、讲解内容和术语运用准确，课程组织合理等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6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运动防护</w:t>
            </w:r>
          </w:p>
        </w:tc>
        <w:tc>
          <w:tcPr>
            <w:tcW w:w="3750" w:type="dxa"/>
            <w:noWrap w:val="0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正确判断运动损伤的类型，做出正确合理的治疗措施。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6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专项技能</w:t>
            </w:r>
          </w:p>
        </w:tc>
        <w:tc>
          <w:tcPr>
            <w:tcW w:w="3750" w:type="dxa"/>
            <w:noWrap w:val="0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能够展示正确专项技术动作，动作节奏合理、身体协调及动作细节展示清晰。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7572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100%</w:t>
            </w:r>
          </w:p>
        </w:tc>
      </w:tr>
    </w:tbl>
    <w:p>
      <w:pPr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注：实践能力面试包括四个模块，每个模块由学员抽取一道题目进行考核，四个模块得分的综合为实践能力总得分。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B2F5C"/>
    <w:rsid w:val="01D80D21"/>
    <w:rsid w:val="778B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2024-07-04T06:54:00Z</dcterms:created>
  <dc:creator>shijy</dc:creator>
  <cp:lastModifiedBy>shijy</cp:lastModifiedBy>
  <dcterms:modified xsi:type="dcterms:W3CDTF">2024-07-04T06:54:59Z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2052-11.8.2.9068</vt:lpwstr>
  </property>
</Properties>
</file>