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2023文化繁荣发展专项资金项目</w:t>
      </w:r>
    </w:p>
    <w:p>
      <w:pPr>
        <w:spacing w:line="360" w:lineRule="auto"/>
        <w:jc w:val="center"/>
        <w:rPr>
          <w:rFonts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项目绩效自评报告</w:t>
      </w:r>
    </w:p>
    <w:p>
      <w:pPr>
        <w:spacing w:line="360" w:lineRule="auto"/>
        <w:ind w:firstLine="450" w:firstLineChars="150"/>
        <w:rPr>
          <w:rFonts w:ascii="仿宋_GB2312" w:eastAsia="仿宋_GB2312"/>
          <w:sz w:val="30"/>
          <w:szCs w:val="30"/>
        </w:rPr>
      </w:pPr>
    </w:p>
    <w:p>
      <w:pPr>
        <w:spacing w:line="360" w:lineRule="auto"/>
        <w:ind w:firstLine="450" w:firstLineChars="150"/>
        <w:rPr>
          <w:rFonts w:ascii="仿宋_GB2312" w:eastAsia="仿宋_GB2312"/>
          <w:sz w:val="30"/>
          <w:szCs w:val="30"/>
        </w:rPr>
      </w:pPr>
    </w:p>
    <w:p>
      <w:pPr>
        <w:spacing w:line="360" w:lineRule="auto"/>
        <w:ind w:firstLine="450" w:firstLineChars="150"/>
        <w:rPr>
          <w:rFonts w:ascii="仿宋_GB2312" w:eastAsia="仿宋_GB2312"/>
          <w:sz w:val="30"/>
          <w:szCs w:val="30"/>
        </w:rPr>
      </w:pPr>
    </w:p>
    <w:p>
      <w:pPr>
        <w:spacing w:line="360" w:lineRule="auto"/>
        <w:ind w:firstLine="450" w:firstLineChars="150"/>
        <w:rPr>
          <w:rFonts w:ascii="仿宋_GB2312" w:eastAsia="仿宋_GB2312"/>
          <w:sz w:val="30"/>
          <w:szCs w:val="30"/>
        </w:rPr>
      </w:pPr>
    </w:p>
    <w:p>
      <w:pPr>
        <w:spacing w:line="360" w:lineRule="auto"/>
        <w:ind w:firstLine="450" w:firstLineChars="150"/>
        <w:rPr>
          <w:rFonts w:ascii="仿宋_GB2312" w:eastAsia="仿宋_GB2312"/>
          <w:sz w:val="30"/>
          <w:szCs w:val="30"/>
        </w:rPr>
      </w:pPr>
    </w:p>
    <w:p>
      <w:pPr>
        <w:spacing w:line="360" w:lineRule="auto"/>
        <w:ind w:firstLine="450" w:firstLineChars="150"/>
        <w:rPr>
          <w:rFonts w:ascii="仿宋_GB2312" w:eastAsia="仿宋_GB2312"/>
          <w:sz w:val="30"/>
          <w:szCs w:val="30"/>
        </w:rPr>
      </w:pPr>
    </w:p>
    <w:p>
      <w:pPr>
        <w:spacing w:line="360" w:lineRule="auto"/>
        <w:ind w:firstLine="450" w:firstLineChars="150"/>
        <w:rPr>
          <w:rFonts w:ascii="仿宋_GB2312" w:eastAsia="仿宋_GB2312"/>
          <w:sz w:val="30"/>
          <w:szCs w:val="30"/>
        </w:rPr>
      </w:pPr>
    </w:p>
    <w:p>
      <w:pPr>
        <w:spacing w:line="360" w:lineRule="auto"/>
        <w:ind w:firstLine="450" w:firstLineChars="150"/>
        <w:rPr>
          <w:rFonts w:ascii="仿宋_GB2312" w:eastAsia="仿宋_GB2312"/>
          <w:sz w:val="30"/>
          <w:szCs w:val="30"/>
        </w:rPr>
      </w:pPr>
    </w:p>
    <w:p>
      <w:pPr>
        <w:spacing w:line="360" w:lineRule="auto"/>
        <w:ind w:firstLine="450" w:firstLineChars="150"/>
        <w:rPr>
          <w:rFonts w:ascii="仿宋_GB2312" w:eastAsia="仿宋_GB2312"/>
          <w:sz w:val="30"/>
          <w:szCs w:val="30"/>
        </w:rPr>
      </w:pPr>
    </w:p>
    <w:p>
      <w:pPr>
        <w:snapToGrid w:val="0"/>
        <w:spacing w:line="360" w:lineRule="auto"/>
        <w:rPr>
          <w:rFonts w:ascii="仿宋_GB2312" w:eastAsia="仿宋_GB2312"/>
          <w:sz w:val="32"/>
          <w:szCs w:val="32"/>
        </w:rPr>
      </w:pPr>
      <w:r>
        <w:rPr>
          <w:rFonts w:hint="eastAsia" w:ascii="仿宋_GB2312" w:eastAsia="仿宋_GB2312"/>
          <w:sz w:val="32"/>
          <w:szCs w:val="32"/>
        </w:rPr>
        <w:t>财政事权名称：竞技体育</w:t>
      </w:r>
    </w:p>
    <w:p>
      <w:pPr>
        <w:snapToGrid w:val="0"/>
        <w:spacing w:line="360" w:lineRule="auto"/>
        <w:rPr>
          <w:rFonts w:hint="eastAsia" w:ascii="仿宋_GB2312" w:eastAsia="仿宋_GB2312"/>
          <w:sz w:val="32"/>
          <w:szCs w:val="32"/>
        </w:rPr>
      </w:pPr>
      <w:r>
        <w:rPr>
          <w:rFonts w:hint="eastAsia" w:ascii="仿宋_GB2312" w:eastAsia="仿宋_GB2312"/>
          <w:sz w:val="32"/>
          <w:szCs w:val="32"/>
        </w:rPr>
        <w:t>对应政策任务个数：3</w:t>
      </w:r>
    </w:p>
    <w:p>
      <w:pPr>
        <w:snapToGrid w:val="0"/>
        <w:spacing w:line="360" w:lineRule="auto"/>
        <w:rPr>
          <w:rFonts w:ascii="仿宋_GB2312" w:eastAsia="仿宋_GB2312"/>
          <w:sz w:val="32"/>
          <w:szCs w:val="32"/>
        </w:rPr>
      </w:pPr>
      <w:r>
        <w:rPr>
          <w:rFonts w:hint="eastAsia" w:ascii="仿宋_GB2312" w:eastAsia="仿宋_GB2312"/>
          <w:sz w:val="32"/>
          <w:szCs w:val="32"/>
        </w:rPr>
        <w:t>具体名称：备战重大体育赛事、资助承办竞技类体育赛事、运动队保障</w:t>
      </w:r>
    </w:p>
    <w:p>
      <w:pPr>
        <w:snapToGrid w:val="0"/>
        <w:spacing w:line="360" w:lineRule="auto"/>
        <w:rPr>
          <w:rFonts w:ascii="仿宋_GB2312" w:eastAsia="仿宋_GB2312"/>
          <w:sz w:val="32"/>
          <w:szCs w:val="32"/>
        </w:rPr>
      </w:pPr>
      <w:r>
        <w:rPr>
          <w:rFonts w:hint="eastAsia" w:ascii="仿宋_GB2312" w:eastAsia="仿宋_GB2312"/>
          <w:sz w:val="32"/>
          <w:szCs w:val="32"/>
        </w:rPr>
        <w:t>预算单位：广东省体育局</w:t>
      </w:r>
    </w:p>
    <w:p>
      <w:pPr>
        <w:snapToGrid w:val="0"/>
        <w:spacing w:line="360" w:lineRule="auto"/>
        <w:rPr>
          <w:rFonts w:ascii="仿宋_GB2312" w:eastAsia="仿宋_GB2312"/>
          <w:sz w:val="32"/>
          <w:szCs w:val="32"/>
        </w:rPr>
      </w:pPr>
      <w:r>
        <w:rPr>
          <w:rFonts w:hint="eastAsia" w:ascii="仿宋_GB2312" w:eastAsia="仿宋_GB2312"/>
          <w:sz w:val="32"/>
          <w:szCs w:val="32"/>
        </w:rPr>
        <w:t>填报日期：2024年5月20日</w:t>
      </w:r>
    </w:p>
    <w:p>
      <w:pPr>
        <w:snapToGrid w:val="0"/>
        <w:spacing w:line="360" w:lineRule="auto"/>
        <w:ind w:firstLine="640" w:firstLineChars="200"/>
        <w:rPr>
          <w:rFonts w:ascii="仿宋_GB2312" w:eastAsia="仿宋_GB2312"/>
          <w:sz w:val="32"/>
          <w:szCs w:val="32"/>
        </w:rPr>
        <w:sectPr>
          <w:footerReference r:id="rId3" w:type="default"/>
          <w:pgSz w:w="11906" w:h="16838"/>
          <w:pgMar w:top="1928" w:right="1417" w:bottom="1417" w:left="1531" w:header="851" w:footer="850" w:gutter="0"/>
          <w:pgNumType w:fmt="numberInDash"/>
          <w:cols w:space="720" w:num="1"/>
          <w:docGrid w:type="lines" w:linePitch="312" w:charSpace="0"/>
        </w:sectPr>
      </w:pPr>
    </w:p>
    <w:p>
      <w:pPr>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根据《广东省财政厅关于开展2024年省级财政资金绩效自评工作的通知》的要求，为进一步压实预算绩效管理主体责任，提高财政资金使用效益，我局开展了2023年“文化繁荣发展专项资金（竞技体育）”项目（以下简称“竞技体育项目”）绩效自评工作。</w:t>
      </w:r>
      <w:r>
        <w:rPr>
          <w:rFonts w:hint="eastAsia" w:ascii="仿宋_GB2312" w:hAnsi="仿宋_GB2312" w:eastAsia="仿宋_GB2312" w:cs="仿宋_GB2312"/>
          <w:sz w:val="32"/>
          <w:szCs w:val="32"/>
        </w:rPr>
        <w:t>针对该项目的过程、产出和效益等方面的内容，我局着重盘点专项资金使用绩效，分析存在的问题和改进意见。</w:t>
      </w:r>
      <w:r>
        <w:rPr>
          <w:rFonts w:hint="eastAsia" w:ascii="仿宋_GB2312" w:eastAsia="仿宋_GB2312"/>
          <w:sz w:val="32"/>
          <w:szCs w:val="32"/>
        </w:rPr>
        <w:t>现就该项目的绩效自评情况报告如下：</w:t>
      </w:r>
    </w:p>
    <w:p>
      <w:pPr>
        <w:snapToGrid w:val="0"/>
        <w:spacing w:line="360" w:lineRule="auto"/>
        <w:ind w:firstLine="640" w:firstLineChars="200"/>
        <w:outlineLvl w:val="0"/>
        <w:rPr>
          <w:rFonts w:ascii="黑体" w:eastAsia="黑体"/>
          <w:sz w:val="32"/>
          <w:szCs w:val="32"/>
        </w:rPr>
      </w:pPr>
      <w:r>
        <w:rPr>
          <w:rFonts w:hint="eastAsia" w:ascii="黑体" w:eastAsia="黑体"/>
          <w:sz w:val="32"/>
          <w:szCs w:val="32"/>
        </w:rPr>
        <w:t>一、基本情况</w:t>
      </w:r>
    </w:p>
    <w:p>
      <w:pPr>
        <w:snapToGrid w:val="0"/>
        <w:spacing w:line="360" w:lineRule="auto"/>
        <w:ind w:firstLine="642" w:firstLineChars="200"/>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（一）资金分配方式</w:t>
      </w:r>
    </w:p>
    <w:p>
      <w:pPr>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根据《广东省财政厅关于批复2023年省级部门预算的通知》《广东省财政厅关于下达2023年文化繁荣专项资金（省体育局部分）的通知》（粤财科教〔2023〕72号）、《广东省财政厅关于2023年度体育彩票公益金上年结转资金的通知》（粤财科教〔2023〕154号）、《广东省财政厅关于调剂部分资金用途的通知》（粤财科教〔2023〕158号），2023年“竞技体育项目”资金共50,829万元，其中：省直单位49,534万元、转移支付市县1,295万元，项目资金已于2023年1月、6月、11月分批到位。</w:t>
      </w:r>
    </w:p>
    <w:p>
      <w:pPr>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在资金分配方面，我局采取因素法与项目制相结合，以项目制分配为主的方式。根据各直属单位、市县申报项目，同时综合考虑各项目单位往年专项资金使用情况及年度工作目标等因素提出资金分配建议后，经省财政厅审核，按程序报批后下达。</w:t>
      </w:r>
    </w:p>
    <w:p>
      <w:pPr>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竞技体育项目包含3个政策任务：备战重大体育赛事、资助承办竞技类体育赛事、运动队保障。各政策任务资金分配情况如表1-1所示。</w:t>
      </w:r>
    </w:p>
    <w:p>
      <w:pPr>
        <w:pStyle w:val="7"/>
        <w:spacing w:line="360" w:lineRule="auto"/>
        <w:ind w:left="0" w:leftChars="0"/>
        <w:jc w:val="center"/>
        <w:rPr>
          <w:rFonts w:ascii="黑体" w:hAnsi="黑体" w:eastAsia="黑体" w:cs="黑体"/>
          <w:sz w:val="28"/>
          <w:szCs w:val="36"/>
          <w:highlight w:val="yellow"/>
        </w:rPr>
      </w:pPr>
      <w:r>
        <w:rPr>
          <w:rFonts w:hint="eastAsia" w:ascii="黑体" w:hAnsi="黑体" w:eastAsia="黑体" w:cs="黑体"/>
          <w:sz w:val="28"/>
          <w:szCs w:val="36"/>
        </w:rPr>
        <w:t>表1-1 竞技体育项目资金分配情况表</w:t>
      </w:r>
    </w:p>
    <w:tbl>
      <w:tblPr>
        <w:tblStyle w:val="9"/>
        <w:tblW w:w="9072"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440"/>
        <w:gridCol w:w="1287"/>
        <w:gridCol w:w="1734"/>
        <w:gridCol w:w="1307"/>
        <w:gridCol w:w="1264"/>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restart"/>
            <w:shd w:val="clear" w:color="auto" w:fill="DBEEF3"/>
            <w:noWrap/>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资金类型</w:t>
            </w:r>
          </w:p>
        </w:tc>
        <w:tc>
          <w:tcPr>
            <w:tcW w:w="1440" w:type="dxa"/>
            <w:vMerge w:val="restart"/>
            <w:shd w:val="clear" w:color="auto" w:fill="DBEEF3"/>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项目单位/地市</w:t>
            </w:r>
          </w:p>
        </w:tc>
        <w:tc>
          <w:tcPr>
            <w:tcW w:w="4328" w:type="dxa"/>
            <w:gridSpan w:val="3"/>
            <w:shd w:val="clear" w:color="auto" w:fill="DBEEF3"/>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政策任务</w:t>
            </w:r>
          </w:p>
        </w:tc>
        <w:tc>
          <w:tcPr>
            <w:tcW w:w="1264" w:type="dxa"/>
            <w:vMerge w:val="restart"/>
            <w:shd w:val="clear" w:color="auto" w:fill="DBEEF3"/>
            <w:vAlign w:val="center"/>
          </w:tcPr>
          <w:p>
            <w:pPr>
              <w:widowControl/>
              <w:adjustRightInd w:val="0"/>
              <w:snapToGrid w:val="0"/>
              <w:jc w:val="center"/>
              <w:textAlignment w:val="center"/>
              <w:rPr>
                <w:rFonts w:ascii="仿宋_GB2312" w:hAnsi="宋体" w:eastAsia="仿宋_GB2312" w:cs="仿宋_GB2312"/>
                <w:b/>
                <w:bCs/>
                <w:color w:val="000000"/>
                <w:kern w:val="0"/>
                <w:sz w:val="24"/>
              </w:rPr>
            </w:pPr>
            <w:r>
              <w:rPr>
                <w:rFonts w:hint="eastAsia" w:ascii="仿宋_GB2312" w:hAnsi="宋体" w:eastAsia="仿宋_GB2312" w:cs="仿宋_GB2312"/>
                <w:b/>
                <w:bCs/>
                <w:color w:val="000000"/>
                <w:kern w:val="0"/>
                <w:sz w:val="24"/>
              </w:rPr>
              <w:t>金额</w:t>
            </w:r>
          </w:p>
          <w:p>
            <w:pPr>
              <w:widowControl/>
              <w:adjustRightInd w:val="0"/>
              <w:snapToGrid w:val="0"/>
              <w:jc w:val="center"/>
              <w:textAlignment w:val="center"/>
              <w:rPr>
                <w:rFonts w:ascii="仿宋_GB2312" w:hAnsi="宋体" w:eastAsia="仿宋_GB2312" w:cs="仿宋_GB2312"/>
                <w:b/>
                <w:bCs/>
                <w:color w:val="000000"/>
                <w:kern w:val="0"/>
                <w:sz w:val="24"/>
              </w:rPr>
            </w:pPr>
            <w:r>
              <w:rPr>
                <w:rFonts w:hint="eastAsia" w:ascii="仿宋_GB2312" w:hAnsi="宋体" w:eastAsia="仿宋_GB2312" w:cs="仿宋_GB2312"/>
                <w:b/>
                <w:bCs/>
                <w:color w:val="000000"/>
                <w:kern w:val="0"/>
                <w:sz w:val="24"/>
              </w:rPr>
              <w:t>（万元）</w:t>
            </w:r>
          </w:p>
        </w:tc>
        <w:tc>
          <w:tcPr>
            <w:tcW w:w="1176" w:type="dxa"/>
            <w:vMerge w:val="restart"/>
            <w:shd w:val="clear" w:color="auto" w:fill="DBEEF3"/>
            <w:vAlign w:val="center"/>
          </w:tcPr>
          <w:p>
            <w:pPr>
              <w:widowControl/>
              <w:adjustRightInd w:val="0"/>
              <w:snapToGrid w:val="0"/>
              <w:jc w:val="center"/>
              <w:textAlignment w:val="center"/>
              <w:rPr>
                <w:rFonts w:ascii="仿宋_GB2312" w:hAnsi="宋体" w:eastAsia="仿宋_GB2312" w:cs="仿宋_GB2312"/>
                <w:b/>
                <w:bCs/>
                <w:color w:val="000000"/>
                <w:kern w:val="0"/>
                <w:sz w:val="24"/>
              </w:rPr>
            </w:pPr>
            <w:r>
              <w:rPr>
                <w:rFonts w:hint="eastAsia" w:ascii="仿宋_GB2312" w:hAnsi="宋体" w:eastAsia="仿宋_GB2312" w:cs="仿宋_GB2312"/>
                <w:b/>
                <w:bCs/>
                <w:color w:val="000000"/>
                <w:kern w:val="0"/>
                <w:sz w:val="24"/>
              </w:rPr>
              <w:t>资金</w:t>
            </w:r>
          </w:p>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文号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92CDDC"/>
            <w:noWrap/>
            <w:vAlign w:val="center"/>
          </w:tcPr>
          <w:p>
            <w:pPr>
              <w:adjustRightInd w:val="0"/>
              <w:snapToGrid w:val="0"/>
              <w:jc w:val="center"/>
              <w:rPr>
                <w:rFonts w:ascii="仿宋_GB2312" w:hAnsi="宋体" w:eastAsia="仿宋_GB2312" w:cs="仿宋_GB2312"/>
                <w:b/>
                <w:bCs/>
                <w:color w:val="000000"/>
                <w:sz w:val="24"/>
              </w:rPr>
            </w:pPr>
          </w:p>
        </w:tc>
        <w:tc>
          <w:tcPr>
            <w:tcW w:w="1440" w:type="dxa"/>
            <w:vMerge w:val="continue"/>
            <w:shd w:val="clear" w:color="auto" w:fill="92CDDC"/>
            <w:vAlign w:val="center"/>
          </w:tcPr>
          <w:p>
            <w:pPr>
              <w:adjustRightInd w:val="0"/>
              <w:snapToGrid w:val="0"/>
              <w:jc w:val="center"/>
              <w:rPr>
                <w:rFonts w:ascii="仿宋_GB2312" w:hAnsi="宋体" w:eastAsia="仿宋_GB2312" w:cs="仿宋_GB2312"/>
                <w:b/>
                <w:bCs/>
                <w:color w:val="000000"/>
                <w:sz w:val="24"/>
              </w:rPr>
            </w:pPr>
          </w:p>
        </w:tc>
        <w:tc>
          <w:tcPr>
            <w:tcW w:w="1287" w:type="dxa"/>
            <w:shd w:val="clear" w:color="auto" w:fill="DBEEF3"/>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备战重大体育赛事</w:t>
            </w:r>
          </w:p>
        </w:tc>
        <w:tc>
          <w:tcPr>
            <w:tcW w:w="1734" w:type="dxa"/>
            <w:shd w:val="clear" w:color="auto" w:fill="DBEEF3"/>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资助承办竞技类体育赛事</w:t>
            </w:r>
          </w:p>
        </w:tc>
        <w:tc>
          <w:tcPr>
            <w:tcW w:w="1307" w:type="dxa"/>
            <w:shd w:val="clear" w:color="auto" w:fill="DBEEF3"/>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运动队保障项目</w:t>
            </w:r>
          </w:p>
        </w:tc>
        <w:tc>
          <w:tcPr>
            <w:tcW w:w="1264" w:type="dxa"/>
            <w:vMerge w:val="continue"/>
            <w:shd w:val="clear" w:color="auto" w:fill="92CDDC"/>
            <w:vAlign w:val="center"/>
          </w:tcPr>
          <w:p>
            <w:pPr>
              <w:adjustRightInd w:val="0"/>
              <w:snapToGrid w:val="0"/>
              <w:jc w:val="center"/>
              <w:rPr>
                <w:rFonts w:ascii="仿宋_GB2312" w:hAnsi="宋体" w:eastAsia="仿宋_GB2312" w:cs="仿宋_GB2312"/>
                <w:b/>
                <w:bCs/>
                <w:color w:val="000000"/>
                <w:sz w:val="24"/>
              </w:rPr>
            </w:pPr>
          </w:p>
        </w:tc>
        <w:tc>
          <w:tcPr>
            <w:tcW w:w="1176" w:type="dxa"/>
            <w:vMerge w:val="continue"/>
            <w:shd w:val="clear" w:color="auto" w:fill="92CDDC"/>
            <w:vAlign w:val="center"/>
          </w:tcPr>
          <w:p>
            <w:pPr>
              <w:widowControl/>
              <w:adjustRightInd w:val="0"/>
              <w:snapToGrid w:val="0"/>
              <w:jc w:val="center"/>
              <w:textAlignment w:val="center"/>
              <w:rPr>
                <w:rFonts w:ascii="仿宋_GB2312" w:hAnsi="宋体" w:eastAsia="仿宋_GB2312" w:cs="仿宋_GB2312"/>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restart"/>
            <w:shd w:val="clear" w:color="auto" w:fill="auto"/>
            <w:noWrap/>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省直单位</w:t>
            </w:r>
          </w:p>
        </w:tc>
        <w:tc>
          <w:tcPr>
            <w:tcW w:w="1440" w:type="dxa"/>
            <w:shd w:val="clear" w:color="auto" w:fill="EBF1DE"/>
            <w:vAlign w:val="center"/>
          </w:tcPr>
          <w:p>
            <w:pPr>
              <w:widowControl/>
              <w:adjustRightInd w:val="0"/>
              <w:snapToGrid w:val="0"/>
              <w:jc w:val="center"/>
              <w:textAlignment w:val="center"/>
              <w:rPr>
                <w:rFonts w:ascii="仿宋_GB2312" w:hAnsi="宋体" w:eastAsia="仿宋_GB2312" w:cs="仿宋_GB2312"/>
                <w:b/>
                <w:bCs/>
                <w:color w:val="000000"/>
                <w:kern w:val="0"/>
                <w:sz w:val="24"/>
              </w:rPr>
            </w:pPr>
            <w:r>
              <w:rPr>
                <w:rFonts w:hint="eastAsia" w:ascii="仿宋_GB2312" w:hAnsi="宋体" w:eastAsia="仿宋_GB2312" w:cs="仿宋_GB2312"/>
                <w:b/>
                <w:bCs/>
                <w:color w:val="000000"/>
                <w:kern w:val="0"/>
                <w:sz w:val="24"/>
              </w:rPr>
              <w:t>省直单位</w:t>
            </w:r>
          </w:p>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合计</w:t>
            </w:r>
          </w:p>
        </w:tc>
        <w:tc>
          <w:tcPr>
            <w:tcW w:w="1287" w:type="dxa"/>
            <w:shd w:val="clear" w:color="auto" w:fill="EBF1DE"/>
            <w:noWrap/>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34471.34</w:t>
            </w:r>
          </w:p>
        </w:tc>
        <w:tc>
          <w:tcPr>
            <w:tcW w:w="1734" w:type="dxa"/>
            <w:shd w:val="clear" w:color="auto" w:fill="EBF1DE"/>
            <w:noWrap/>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4580</w:t>
            </w:r>
          </w:p>
        </w:tc>
        <w:tc>
          <w:tcPr>
            <w:tcW w:w="1307" w:type="dxa"/>
            <w:shd w:val="clear" w:color="auto" w:fill="EBF1DE"/>
            <w:noWrap/>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10482.66</w:t>
            </w:r>
          </w:p>
        </w:tc>
        <w:tc>
          <w:tcPr>
            <w:tcW w:w="1264" w:type="dxa"/>
            <w:shd w:val="clear" w:color="auto" w:fill="EBF1DE"/>
            <w:noWrap/>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49534</w:t>
            </w:r>
          </w:p>
        </w:tc>
        <w:tc>
          <w:tcPr>
            <w:tcW w:w="1176" w:type="dxa"/>
            <w:shd w:val="clear" w:color="auto" w:fill="auto"/>
            <w:vAlign w:val="center"/>
          </w:tcPr>
          <w:p>
            <w:pPr>
              <w:adjustRightInd w:val="0"/>
              <w:snapToGrid w:val="0"/>
              <w:jc w:val="center"/>
              <w:rPr>
                <w:rFonts w:ascii="仿宋_GB2312" w:hAnsi="宋体" w:eastAsia="仿宋_GB2312" w:cs="仿宋_GB2312"/>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广东省体育局</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130</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1435</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3295</w:t>
            </w:r>
          </w:p>
        </w:tc>
        <w:tc>
          <w:tcPr>
            <w:tcW w:w="126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4860</w:t>
            </w:r>
          </w:p>
        </w:tc>
        <w:tc>
          <w:tcPr>
            <w:tcW w:w="1176" w:type="dxa"/>
            <w:vMerge w:val="restart"/>
            <w:shd w:val="clear" w:color="auto" w:fill="auto"/>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2023年度部门预算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广东省足球运动中心</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2500</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92</w:t>
            </w:r>
          </w:p>
        </w:tc>
        <w:tc>
          <w:tcPr>
            <w:tcW w:w="126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2592</w:t>
            </w:r>
          </w:p>
        </w:tc>
        <w:tc>
          <w:tcPr>
            <w:tcW w:w="1176" w:type="dxa"/>
            <w:vMerge w:val="continue"/>
            <w:shd w:val="clear" w:color="auto" w:fill="auto"/>
            <w:vAlign w:val="center"/>
          </w:tcPr>
          <w:p>
            <w:pPr>
              <w:adjustRightInd w:val="0"/>
              <w:snapToGrid w:val="0"/>
              <w:jc w:val="center"/>
              <w:rPr>
                <w:rFonts w:ascii="仿宋_GB2312" w:hAnsi="宋体"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广东省重竞技体育训练中心</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2700</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540</w:t>
            </w:r>
          </w:p>
        </w:tc>
        <w:tc>
          <w:tcPr>
            <w:tcW w:w="126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3240</w:t>
            </w:r>
          </w:p>
        </w:tc>
        <w:tc>
          <w:tcPr>
            <w:tcW w:w="1176" w:type="dxa"/>
            <w:vMerge w:val="continue"/>
            <w:shd w:val="clear" w:color="auto" w:fill="auto"/>
            <w:vAlign w:val="center"/>
          </w:tcPr>
          <w:p>
            <w:pPr>
              <w:adjustRightInd w:val="0"/>
              <w:snapToGrid w:val="0"/>
              <w:jc w:val="center"/>
              <w:rPr>
                <w:rFonts w:ascii="仿宋_GB2312" w:hAnsi="宋体"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广东省高尔夫球运动中心</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900</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60</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26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960</w:t>
            </w:r>
          </w:p>
        </w:tc>
        <w:tc>
          <w:tcPr>
            <w:tcW w:w="1176" w:type="dxa"/>
            <w:vMerge w:val="continue"/>
            <w:shd w:val="clear" w:color="auto" w:fill="auto"/>
            <w:vAlign w:val="center"/>
          </w:tcPr>
          <w:p>
            <w:pPr>
              <w:adjustRightInd w:val="0"/>
              <w:snapToGrid w:val="0"/>
              <w:jc w:val="center"/>
              <w:rPr>
                <w:rFonts w:ascii="仿宋_GB2312" w:hAnsi="宋体"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广东省体育科学研究所</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200</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26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200</w:t>
            </w:r>
          </w:p>
        </w:tc>
        <w:tc>
          <w:tcPr>
            <w:tcW w:w="1176" w:type="dxa"/>
            <w:vMerge w:val="continue"/>
            <w:shd w:val="clear" w:color="auto" w:fill="auto"/>
            <w:vAlign w:val="center"/>
          </w:tcPr>
          <w:p>
            <w:pPr>
              <w:adjustRightInd w:val="0"/>
              <w:snapToGrid w:val="0"/>
              <w:jc w:val="center"/>
              <w:rPr>
                <w:rFonts w:ascii="仿宋_GB2312" w:hAnsi="宋体"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广东省二沙体育训练中心</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12396.09</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4114.66</w:t>
            </w:r>
          </w:p>
        </w:tc>
        <w:tc>
          <w:tcPr>
            <w:tcW w:w="126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16510.75</w:t>
            </w:r>
          </w:p>
        </w:tc>
        <w:tc>
          <w:tcPr>
            <w:tcW w:w="1176" w:type="dxa"/>
            <w:vMerge w:val="restart"/>
            <w:shd w:val="clear" w:color="auto" w:fill="auto"/>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2023年度部门预算、粤财科教〔2023〕154号、158号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广东省黄村体育训练中心</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9674.25</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50</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862.3</w:t>
            </w:r>
          </w:p>
        </w:tc>
        <w:tc>
          <w:tcPr>
            <w:tcW w:w="126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10586.55</w:t>
            </w:r>
          </w:p>
        </w:tc>
        <w:tc>
          <w:tcPr>
            <w:tcW w:w="1176" w:type="dxa"/>
            <w:vMerge w:val="continue"/>
            <w:shd w:val="clear" w:color="auto" w:fill="auto"/>
            <w:vAlign w:val="center"/>
          </w:tcPr>
          <w:p>
            <w:pPr>
              <w:adjustRightInd w:val="0"/>
              <w:snapToGrid w:val="0"/>
              <w:jc w:val="center"/>
              <w:rPr>
                <w:rFonts w:ascii="仿宋_GB2312" w:hAnsi="宋体"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广东省船艇训练中心</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3353</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400</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1108.7</w:t>
            </w:r>
          </w:p>
        </w:tc>
        <w:tc>
          <w:tcPr>
            <w:tcW w:w="126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4861.7</w:t>
            </w:r>
          </w:p>
        </w:tc>
        <w:tc>
          <w:tcPr>
            <w:tcW w:w="1176" w:type="dxa"/>
            <w:vMerge w:val="continue"/>
            <w:shd w:val="clear" w:color="auto" w:fill="auto"/>
            <w:vAlign w:val="center"/>
          </w:tcPr>
          <w:p>
            <w:pPr>
              <w:adjustRightInd w:val="0"/>
              <w:snapToGrid w:val="0"/>
              <w:jc w:val="center"/>
              <w:rPr>
                <w:rFonts w:ascii="仿宋_GB2312" w:hAnsi="宋体"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广东海上项目训练中心</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2498</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66.57</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470</w:t>
            </w:r>
          </w:p>
        </w:tc>
        <w:tc>
          <w:tcPr>
            <w:tcW w:w="126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3034.57</w:t>
            </w:r>
          </w:p>
        </w:tc>
        <w:tc>
          <w:tcPr>
            <w:tcW w:w="1176" w:type="dxa"/>
            <w:vMerge w:val="continue"/>
            <w:shd w:val="clear" w:color="auto" w:fill="auto"/>
            <w:vAlign w:val="center"/>
          </w:tcPr>
          <w:p>
            <w:pPr>
              <w:adjustRightInd w:val="0"/>
              <w:snapToGrid w:val="0"/>
              <w:jc w:val="center"/>
              <w:rPr>
                <w:rFonts w:ascii="仿宋_GB2312" w:hAnsi="宋体"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广东省奥林匹克体育中心</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36.51</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26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36.51</w:t>
            </w:r>
          </w:p>
        </w:tc>
        <w:tc>
          <w:tcPr>
            <w:tcW w:w="1176" w:type="dxa"/>
            <w:vMerge w:val="restart"/>
            <w:shd w:val="clear" w:color="auto" w:fill="auto"/>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2023年度部门预算、粤财科教〔2023〕158号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广东省人民体育场</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51.92</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26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51.92</w:t>
            </w:r>
          </w:p>
        </w:tc>
        <w:tc>
          <w:tcPr>
            <w:tcW w:w="1176" w:type="dxa"/>
            <w:vMerge w:val="continue"/>
            <w:shd w:val="clear" w:color="auto" w:fill="auto"/>
            <w:vAlign w:val="center"/>
          </w:tcPr>
          <w:p>
            <w:pPr>
              <w:adjustRightInd w:val="0"/>
              <w:snapToGrid w:val="0"/>
              <w:jc w:val="center"/>
              <w:rPr>
                <w:rFonts w:ascii="仿宋_GB2312" w:hAnsi="宋体"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vAlign w:val="center"/>
          </w:tcPr>
          <w:p>
            <w:pPr>
              <w:widowControl/>
              <w:adjustRightInd w:val="0"/>
              <w:snapToGrid w:val="0"/>
              <w:jc w:val="center"/>
              <w:textAlignment w:val="center"/>
              <w:rPr>
                <w:rFonts w:hint="eastAsia" w:ascii="仿宋_GB2312" w:hAnsi="宋体" w:eastAsia="仿宋_GB2312" w:cs="仿宋_GB2312"/>
                <w:color w:val="000000"/>
                <w:sz w:val="24"/>
                <w:lang w:eastAsia="zh-CN"/>
              </w:rPr>
            </w:pPr>
            <w:r>
              <w:rPr>
                <w:rFonts w:hint="eastAsia" w:ascii="仿宋_GB2312" w:hAnsi="宋体" w:eastAsia="仿宋_GB2312" w:cs="仿宋_GB2312"/>
                <w:color w:val="000000"/>
                <w:kern w:val="0"/>
                <w:sz w:val="24"/>
              </w:rPr>
              <w:t>广东省社会体育和训练</w:t>
            </w:r>
            <w:r>
              <w:rPr>
                <w:rFonts w:hint="eastAsia" w:ascii="仿宋_GB2312" w:hAnsi="宋体" w:eastAsia="仿宋_GB2312" w:cs="仿宋_GB2312"/>
                <w:color w:val="000000"/>
                <w:kern w:val="0"/>
                <w:sz w:val="24"/>
                <w:lang w:eastAsia="zh-CN"/>
              </w:rPr>
              <w:t>竞赛中心</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120</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2480</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26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2600</w:t>
            </w:r>
          </w:p>
        </w:tc>
        <w:tc>
          <w:tcPr>
            <w:tcW w:w="1176" w:type="dxa"/>
            <w:shd w:val="clear" w:color="auto" w:fill="auto"/>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2023年度部门预算、粤财科教〔2023〕72号、154号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restart"/>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b/>
                <w:bCs/>
                <w:color w:val="000000"/>
                <w:kern w:val="0"/>
                <w:sz w:val="24"/>
              </w:rPr>
              <w:t>转移支付市县</w:t>
            </w:r>
          </w:p>
        </w:tc>
        <w:tc>
          <w:tcPr>
            <w:tcW w:w="1440" w:type="dxa"/>
            <w:shd w:val="clear" w:color="auto" w:fill="EBF1DE"/>
            <w:noWrap/>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地市合计</w:t>
            </w:r>
          </w:p>
        </w:tc>
        <w:tc>
          <w:tcPr>
            <w:tcW w:w="1287" w:type="dxa"/>
            <w:shd w:val="clear" w:color="auto" w:fill="EBF1DE"/>
            <w:noWrap/>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0</w:t>
            </w:r>
          </w:p>
        </w:tc>
        <w:tc>
          <w:tcPr>
            <w:tcW w:w="1734" w:type="dxa"/>
            <w:shd w:val="clear" w:color="auto" w:fill="EBF1DE"/>
            <w:noWrap/>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1195</w:t>
            </w:r>
          </w:p>
        </w:tc>
        <w:tc>
          <w:tcPr>
            <w:tcW w:w="1307" w:type="dxa"/>
            <w:shd w:val="clear" w:color="auto" w:fill="EBF1DE"/>
            <w:noWrap/>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100</w:t>
            </w:r>
          </w:p>
        </w:tc>
        <w:tc>
          <w:tcPr>
            <w:tcW w:w="1264" w:type="dxa"/>
            <w:shd w:val="clear" w:color="auto" w:fill="EBF1DE"/>
            <w:noWrap/>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1295</w:t>
            </w:r>
          </w:p>
        </w:tc>
        <w:tc>
          <w:tcPr>
            <w:tcW w:w="1176" w:type="dxa"/>
            <w:vMerge w:val="restart"/>
            <w:shd w:val="clear" w:color="auto" w:fill="auto"/>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粤财科教〔2023〕72、154号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广州市</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50</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264" w:type="dxa"/>
            <w:shd w:val="clear" w:color="auto" w:fill="auto"/>
            <w:noWrap/>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50</w:t>
            </w:r>
          </w:p>
        </w:tc>
        <w:tc>
          <w:tcPr>
            <w:tcW w:w="1176" w:type="dxa"/>
            <w:vMerge w:val="continue"/>
            <w:shd w:val="clear" w:color="auto" w:fill="auto"/>
            <w:vAlign w:val="center"/>
          </w:tcPr>
          <w:p>
            <w:pPr>
              <w:adjustRightInd w:val="0"/>
              <w:snapToGrid w:val="0"/>
              <w:jc w:val="center"/>
              <w:rPr>
                <w:rFonts w:ascii="仿宋_GB2312" w:hAnsi="宋体"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惠州市</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20</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264" w:type="dxa"/>
            <w:shd w:val="clear" w:color="auto" w:fill="auto"/>
            <w:noWrap/>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20</w:t>
            </w:r>
          </w:p>
        </w:tc>
        <w:tc>
          <w:tcPr>
            <w:tcW w:w="1176" w:type="dxa"/>
            <w:vMerge w:val="continue"/>
            <w:shd w:val="clear" w:color="auto" w:fill="auto"/>
            <w:vAlign w:val="center"/>
          </w:tcPr>
          <w:p>
            <w:pPr>
              <w:adjustRightInd w:val="0"/>
              <w:snapToGrid w:val="0"/>
              <w:jc w:val="center"/>
              <w:rPr>
                <w:rFonts w:ascii="仿宋_GB2312" w:hAnsi="宋体"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肇庆市</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455</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264" w:type="dxa"/>
            <w:shd w:val="clear" w:color="auto" w:fill="auto"/>
            <w:noWrap/>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455</w:t>
            </w:r>
          </w:p>
        </w:tc>
        <w:tc>
          <w:tcPr>
            <w:tcW w:w="1176" w:type="dxa"/>
            <w:vMerge w:val="continue"/>
            <w:shd w:val="clear" w:color="auto" w:fill="auto"/>
            <w:vAlign w:val="center"/>
          </w:tcPr>
          <w:p>
            <w:pPr>
              <w:adjustRightInd w:val="0"/>
              <w:snapToGrid w:val="0"/>
              <w:jc w:val="center"/>
              <w:rPr>
                <w:rFonts w:ascii="仿宋_GB2312" w:hAnsi="宋体"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汕头市</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100</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264" w:type="dxa"/>
            <w:shd w:val="clear" w:color="auto" w:fill="auto"/>
            <w:noWrap/>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100</w:t>
            </w:r>
          </w:p>
        </w:tc>
        <w:tc>
          <w:tcPr>
            <w:tcW w:w="1176" w:type="dxa"/>
            <w:vMerge w:val="continue"/>
            <w:shd w:val="clear" w:color="auto" w:fill="auto"/>
            <w:vAlign w:val="center"/>
          </w:tcPr>
          <w:p>
            <w:pPr>
              <w:adjustRightInd w:val="0"/>
              <w:snapToGrid w:val="0"/>
              <w:jc w:val="center"/>
              <w:rPr>
                <w:rFonts w:ascii="仿宋_GB2312" w:hAnsi="宋体"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江门市</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340</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264" w:type="dxa"/>
            <w:shd w:val="clear" w:color="auto" w:fill="auto"/>
            <w:noWrap/>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340</w:t>
            </w:r>
          </w:p>
        </w:tc>
        <w:tc>
          <w:tcPr>
            <w:tcW w:w="1176" w:type="dxa"/>
            <w:vMerge w:val="continue"/>
            <w:shd w:val="clear" w:color="auto" w:fill="auto"/>
            <w:vAlign w:val="center"/>
          </w:tcPr>
          <w:p>
            <w:pPr>
              <w:adjustRightInd w:val="0"/>
              <w:snapToGrid w:val="0"/>
              <w:jc w:val="center"/>
              <w:rPr>
                <w:rFonts w:ascii="仿宋_GB2312" w:hAnsi="宋体"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阳江市</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100</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264" w:type="dxa"/>
            <w:shd w:val="clear" w:color="auto" w:fill="auto"/>
            <w:noWrap/>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100</w:t>
            </w:r>
          </w:p>
        </w:tc>
        <w:tc>
          <w:tcPr>
            <w:tcW w:w="1176" w:type="dxa"/>
            <w:vMerge w:val="continue"/>
            <w:shd w:val="clear" w:color="auto" w:fill="auto"/>
            <w:vAlign w:val="center"/>
          </w:tcPr>
          <w:p>
            <w:pPr>
              <w:adjustRightInd w:val="0"/>
              <w:snapToGrid w:val="0"/>
              <w:jc w:val="center"/>
              <w:rPr>
                <w:rFonts w:ascii="仿宋_GB2312" w:hAnsi="宋体"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湛江市</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70</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264" w:type="dxa"/>
            <w:shd w:val="clear" w:color="auto" w:fill="auto"/>
            <w:noWrap/>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70</w:t>
            </w:r>
          </w:p>
        </w:tc>
        <w:tc>
          <w:tcPr>
            <w:tcW w:w="1176" w:type="dxa"/>
            <w:vMerge w:val="continue"/>
            <w:shd w:val="clear" w:color="auto" w:fill="auto"/>
            <w:vAlign w:val="center"/>
          </w:tcPr>
          <w:p>
            <w:pPr>
              <w:adjustRightInd w:val="0"/>
              <w:snapToGrid w:val="0"/>
              <w:jc w:val="center"/>
              <w:rPr>
                <w:rFonts w:ascii="仿宋_GB2312" w:hAnsi="宋体"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河源市</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100</w:t>
            </w:r>
          </w:p>
        </w:tc>
        <w:tc>
          <w:tcPr>
            <w:tcW w:w="1264" w:type="dxa"/>
            <w:shd w:val="clear" w:color="auto" w:fill="auto"/>
            <w:noWrap/>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100</w:t>
            </w:r>
          </w:p>
        </w:tc>
        <w:tc>
          <w:tcPr>
            <w:tcW w:w="1176" w:type="dxa"/>
            <w:vMerge w:val="continue"/>
            <w:shd w:val="clear" w:color="auto" w:fill="auto"/>
            <w:vAlign w:val="center"/>
          </w:tcPr>
          <w:p>
            <w:pPr>
              <w:adjustRightInd w:val="0"/>
              <w:snapToGrid w:val="0"/>
              <w:jc w:val="center"/>
              <w:rPr>
                <w:rFonts w:ascii="仿宋_GB2312" w:hAnsi="宋体"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64" w:type="dxa"/>
            <w:vMerge w:val="continue"/>
            <w:shd w:val="clear" w:color="auto" w:fill="auto"/>
            <w:noWrap/>
            <w:vAlign w:val="center"/>
          </w:tcPr>
          <w:p>
            <w:pPr>
              <w:adjustRightInd w:val="0"/>
              <w:snapToGrid w:val="0"/>
              <w:jc w:val="center"/>
              <w:rPr>
                <w:rFonts w:ascii="仿宋_GB2312" w:hAnsi="宋体" w:eastAsia="仿宋_GB2312" w:cs="仿宋_GB2312"/>
                <w:color w:val="000000"/>
                <w:sz w:val="24"/>
              </w:rPr>
            </w:pPr>
          </w:p>
        </w:tc>
        <w:tc>
          <w:tcPr>
            <w:tcW w:w="1440"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清远市连南瑶族自治县</w:t>
            </w:r>
          </w:p>
        </w:tc>
        <w:tc>
          <w:tcPr>
            <w:tcW w:w="128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734"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60</w:t>
            </w:r>
          </w:p>
        </w:tc>
        <w:tc>
          <w:tcPr>
            <w:tcW w:w="1307" w:type="dxa"/>
            <w:shd w:val="clear" w:color="auto" w:fill="auto"/>
            <w:noWrap/>
            <w:vAlign w:val="center"/>
          </w:tcPr>
          <w:p>
            <w:pPr>
              <w:widowControl/>
              <w:adjustRightInd w:val="0"/>
              <w:snapToGrid w:val="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w:t>
            </w:r>
          </w:p>
        </w:tc>
        <w:tc>
          <w:tcPr>
            <w:tcW w:w="1264" w:type="dxa"/>
            <w:shd w:val="clear" w:color="auto" w:fill="auto"/>
            <w:noWrap/>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60</w:t>
            </w:r>
          </w:p>
        </w:tc>
        <w:tc>
          <w:tcPr>
            <w:tcW w:w="1176" w:type="dxa"/>
            <w:vMerge w:val="continue"/>
            <w:shd w:val="clear" w:color="auto" w:fill="auto"/>
            <w:vAlign w:val="center"/>
          </w:tcPr>
          <w:p>
            <w:pPr>
              <w:adjustRightInd w:val="0"/>
              <w:snapToGrid w:val="0"/>
              <w:jc w:val="center"/>
              <w:rPr>
                <w:rFonts w:ascii="仿宋_GB2312" w:hAnsi="宋体"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2304" w:type="dxa"/>
            <w:gridSpan w:val="2"/>
            <w:shd w:val="clear" w:color="auto" w:fill="DBEEF3"/>
            <w:noWrap/>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总计</w:t>
            </w:r>
          </w:p>
        </w:tc>
        <w:tc>
          <w:tcPr>
            <w:tcW w:w="1287" w:type="dxa"/>
            <w:shd w:val="clear" w:color="auto" w:fill="DBEEF3"/>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34471.34</w:t>
            </w:r>
          </w:p>
        </w:tc>
        <w:tc>
          <w:tcPr>
            <w:tcW w:w="1734" w:type="dxa"/>
            <w:shd w:val="clear" w:color="auto" w:fill="DBEEF3"/>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5775</w:t>
            </w:r>
          </w:p>
        </w:tc>
        <w:tc>
          <w:tcPr>
            <w:tcW w:w="1307" w:type="dxa"/>
            <w:shd w:val="clear" w:color="auto" w:fill="DBEEF3"/>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10582.66</w:t>
            </w:r>
          </w:p>
        </w:tc>
        <w:tc>
          <w:tcPr>
            <w:tcW w:w="1264" w:type="dxa"/>
            <w:shd w:val="clear" w:color="auto" w:fill="DBEEF3"/>
            <w:vAlign w:val="center"/>
          </w:tcPr>
          <w:p>
            <w:pPr>
              <w:widowControl/>
              <w:adjustRightInd w:val="0"/>
              <w:snapToGrid w:val="0"/>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rPr>
              <w:t>50829</w:t>
            </w:r>
          </w:p>
        </w:tc>
        <w:tc>
          <w:tcPr>
            <w:tcW w:w="1176" w:type="dxa"/>
            <w:shd w:val="clear" w:color="auto" w:fill="DBEEF3"/>
            <w:vAlign w:val="center"/>
          </w:tcPr>
          <w:p>
            <w:pPr>
              <w:adjustRightInd w:val="0"/>
              <w:snapToGrid w:val="0"/>
              <w:rPr>
                <w:rFonts w:ascii="宋体" w:hAnsi="宋体" w:cs="宋体"/>
                <w:b/>
                <w:bCs/>
                <w:color w:val="000000"/>
                <w:sz w:val="22"/>
                <w:szCs w:val="22"/>
              </w:rPr>
            </w:pPr>
          </w:p>
        </w:tc>
      </w:tr>
    </w:tbl>
    <w:p>
      <w:pPr>
        <w:spacing w:before="156" w:beforeLines="50" w:line="360" w:lineRule="auto"/>
        <w:ind w:firstLine="642" w:firstLineChars="200"/>
        <w:outlineLvl w:val="1"/>
        <w:rPr>
          <w:rFonts w:ascii="楷体" w:hAnsi="楷体" w:eastAsia="楷体" w:cs="楷体"/>
          <w:b/>
          <w:bCs/>
          <w:sz w:val="32"/>
          <w:szCs w:val="32"/>
        </w:rPr>
      </w:pPr>
      <w:r>
        <w:rPr>
          <w:rFonts w:hint="eastAsia" w:ascii="楷体_GB2312" w:hAnsi="楷体_GB2312" w:eastAsia="楷体_GB2312" w:cs="楷体_GB2312"/>
          <w:b/>
          <w:bCs/>
          <w:sz w:val="32"/>
          <w:szCs w:val="32"/>
        </w:rPr>
        <w:t>（二）项目主要用途、扶持对象</w:t>
      </w:r>
    </w:p>
    <w:p>
      <w:pPr>
        <w:spacing w:line="360" w:lineRule="auto"/>
        <w:ind w:firstLine="642" w:firstLineChars="200"/>
        <w:rPr>
          <w:rFonts w:ascii="仿宋_GB2312" w:eastAsia="仿宋_GB2312"/>
          <w:sz w:val="32"/>
          <w:szCs w:val="32"/>
        </w:rPr>
      </w:pPr>
      <w:r>
        <w:rPr>
          <w:rFonts w:hint="eastAsia" w:ascii="仿宋_GB2312" w:eastAsia="仿宋_GB2312"/>
          <w:b/>
          <w:bCs/>
          <w:sz w:val="32"/>
          <w:szCs w:val="32"/>
        </w:rPr>
        <w:t>1.备战重大体育赛事：</w:t>
      </w:r>
      <w:r>
        <w:rPr>
          <w:rFonts w:hint="eastAsia" w:ascii="仿宋_GB2312" w:eastAsia="仿宋_GB2312"/>
          <w:sz w:val="32"/>
          <w:szCs w:val="32"/>
        </w:rPr>
        <w:t>安排34,471.34万元用于保障8个训练中心备战工作需要和支持相关俱乐部、协会、社会团体等参与备战，包括备战、训练、参赛，开展人才引进、训练器材费、外训外赛、营养调控费、科研运作费</w:t>
      </w:r>
      <w:r>
        <w:rPr>
          <w:rFonts w:hint="eastAsia" w:ascii="仿宋_GB2312" w:eastAsia="仿宋_GB2312"/>
          <w:sz w:val="32"/>
          <w:szCs w:val="32"/>
          <w:highlight w:val="none"/>
        </w:rPr>
        <w:t>和科医器材经</w:t>
      </w:r>
      <w:r>
        <w:rPr>
          <w:rFonts w:hint="eastAsia" w:ascii="仿宋_GB2312" w:eastAsia="仿宋_GB2312"/>
          <w:sz w:val="32"/>
          <w:szCs w:val="32"/>
        </w:rPr>
        <w:t>费、反兴奋剂和训练相关保障等工作，提高备战水平，增强竞技体育综合实力，为体育强省做出贡献。</w:t>
      </w:r>
    </w:p>
    <w:p>
      <w:pPr>
        <w:spacing w:line="360" w:lineRule="auto"/>
        <w:ind w:firstLine="642" w:firstLineChars="200"/>
        <w:rPr>
          <w:rFonts w:ascii="仿宋_GB2312" w:eastAsia="仿宋_GB2312"/>
          <w:sz w:val="32"/>
          <w:szCs w:val="32"/>
        </w:rPr>
      </w:pPr>
      <w:r>
        <w:rPr>
          <w:rFonts w:hint="eastAsia" w:ascii="仿宋_GB2312" w:eastAsia="仿宋_GB2312"/>
          <w:b/>
          <w:bCs/>
          <w:sz w:val="32"/>
          <w:szCs w:val="32"/>
        </w:rPr>
        <w:t>2.资助承办竞技类体育赛事：</w:t>
      </w:r>
      <w:r>
        <w:rPr>
          <w:rFonts w:hint="eastAsia" w:ascii="仿宋_GB2312" w:eastAsia="仿宋_GB2312"/>
          <w:sz w:val="32"/>
          <w:szCs w:val="32"/>
        </w:rPr>
        <w:t>安排5,775万元用于资助2023年度在我省举办或承办的全国及以上各类型竞赛活动19项次，推进粤港澳大湾区体育事业发展，做好第十五届全国运动会赛前各项准备工作，安全、顺利完成赛事组织和安全生产工作。</w:t>
      </w:r>
    </w:p>
    <w:p>
      <w:pPr>
        <w:spacing w:line="360" w:lineRule="auto"/>
        <w:ind w:firstLine="642" w:firstLineChars="200"/>
      </w:pPr>
      <w:r>
        <w:rPr>
          <w:rFonts w:hint="eastAsia" w:ascii="仿宋_GB2312" w:eastAsia="仿宋_GB2312"/>
          <w:b/>
          <w:bCs/>
          <w:sz w:val="32"/>
          <w:szCs w:val="32"/>
        </w:rPr>
        <w:t>3.运动队保障：</w:t>
      </w:r>
      <w:r>
        <w:rPr>
          <w:rFonts w:hint="eastAsia" w:ascii="仿宋_GB2312" w:eastAsia="仿宋_GB2312"/>
          <w:sz w:val="32"/>
          <w:szCs w:val="32"/>
        </w:rPr>
        <w:t>安排10,582.66万元用于改善我省优秀运动队的训练比赛及生活设施、省级训练中心运动员宿舍及场馆维修改造，以达到科学训练要求；开展退役运动员培训工作，促使运动员顺利转岗.提高退役运动员就业水平。</w:t>
      </w:r>
    </w:p>
    <w:p>
      <w:pPr>
        <w:spacing w:line="360" w:lineRule="auto"/>
        <w:ind w:firstLine="642" w:firstLineChars="200"/>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（三）项目绩效目标</w:t>
      </w:r>
    </w:p>
    <w:p>
      <w:pPr>
        <w:snapToGrid/>
        <w:spacing w:line="360" w:lineRule="auto"/>
        <w:ind w:firstLine="640" w:firstLineChars="200"/>
        <w:rPr>
          <w:rFonts w:ascii="仿宋_GB2312" w:eastAsia="仿宋_GB2312"/>
          <w:sz w:val="32"/>
          <w:szCs w:val="32"/>
        </w:rPr>
      </w:pPr>
      <w:r>
        <w:rPr>
          <w:rFonts w:hint="eastAsia" w:ascii="仿宋_GB2312" w:eastAsia="仿宋_GB2312"/>
          <w:sz w:val="32"/>
          <w:szCs w:val="32"/>
        </w:rPr>
        <w:t>根据《广东省财政厅关于告知2023年省级财政专项资金等相关预算安排计划的通知》《广东省财政厅关于下达2023年文化繁荣专项资金（省体育局部分）的通知》（粤财科教〔2023〕72号）等文件，竞技体育项目的三个政策任务绩效目标和指标分别如表1-2、1-3、1-4所示。</w:t>
      </w:r>
    </w:p>
    <w:p>
      <w:pPr>
        <w:spacing w:line="360" w:lineRule="auto"/>
        <w:jc w:val="center"/>
        <w:rPr>
          <w:rFonts w:ascii="黑体" w:hAnsi="黑体" w:eastAsia="黑体" w:cs="黑体"/>
          <w:sz w:val="28"/>
          <w:szCs w:val="28"/>
        </w:rPr>
      </w:pPr>
      <w:r>
        <w:rPr>
          <w:rFonts w:hint="eastAsia" w:ascii="黑体" w:hAnsi="黑体" w:eastAsia="黑体" w:cs="黑体"/>
          <w:sz w:val="28"/>
          <w:szCs w:val="28"/>
        </w:rPr>
        <w:t>表1-2 竞技体育项目（备战重大体育赛事）绩效目标表</w:t>
      </w:r>
    </w:p>
    <w:tbl>
      <w:tblPr>
        <w:tblStyle w:val="1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2"/>
        <w:gridCol w:w="1380"/>
        <w:gridCol w:w="1305"/>
        <w:gridCol w:w="3750"/>
        <w:gridCol w:w="1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14" w:hRule="atLeast"/>
          <w:jc w:val="center"/>
        </w:trPr>
        <w:tc>
          <w:tcPr>
            <w:tcW w:w="1202" w:type="dxa"/>
            <w:shd w:val="clear" w:color="auto" w:fill="DBEEF3"/>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绩效目标</w:t>
            </w:r>
          </w:p>
        </w:tc>
        <w:tc>
          <w:tcPr>
            <w:tcW w:w="7869" w:type="dxa"/>
            <w:gridSpan w:val="4"/>
            <w:vAlign w:val="center"/>
          </w:tcPr>
          <w:p>
            <w:pPr>
              <w:adjustRightInd w:val="0"/>
              <w:snapToGrid w:val="0"/>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1.提升备战管理，推进训练创新与科技赋能，积极参与国内外各类体育竞赛，切实提高训练备战水准。</w:t>
            </w:r>
          </w:p>
          <w:p>
            <w:pPr>
              <w:adjustRightInd w:val="0"/>
              <w:snapToGrid w:val="0"/>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2.全力以赴备战并参加第19届亚洲运动会（杭州），实现“保持竞争优势，为国家、省份争光”的任务目标。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02" w:type="dxa"/>
            <w:vMerge w:val="restart"/>
            <w:shd w:val="clear" w:color="auto" w:fill="DBEEF3"/>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绩效指标</w:t>
            </w:r>
          </w:p>
        </w:tc>
        <w:tc>
          <w:tcPr>
            <w:tcW w:w="1380"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一级指标</w:t>
            </w:r>
          </w:p>
        </w:tc>
        <w:tc>
          <w:tcPr>
            <w:tcW w:w="1305"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二级指标</w:t>
            </w:r>
          </w:p>
        </w:tc>
        <w:tc>
          <w:tcPr>
            <w:tcW w:w="3750"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三级指标</w:t>
            </w:r>
          </w:p>
        </w:tc>
        <w:tc>
          <w:tcPr>
            <w:tcW w:w="1434"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年度目标值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02" w:type="dxa"/>
            <w:vMerge w:val="continue"/>
            <w:shd w:val="clear" w:color="auto" w:fill="DBEEF3"/>
            <w:vAlign w:val="center"/>
          </w:tcPr>
          <w:p>
            <w:pPr>
              <w:jc w:val="center"/>
              <w:rPr>
                <w:rFonts w:ascii="仿宋_GB2312" w:hAnsi="仿宋_GB2312" w:eastAsia="仿宋_GB2312" w:cs="仿宋_GB2312"/>
                <w:b/>
                <w:bCs/>
                <w:sz w:val="24"/>
              </w:rPr>
            </w:pPr>
          </w:p>
        </w:tc>
        <w:tc>
          <w:tcPr>
            <w:tcW w:w="1380" w:type="dxa"/>
            <w:vMerge w:val="restar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产出指标</w:t>
            </w:r>
          </w:p>
        </w:tc>
        <w:tc>
          <w:tcPr>
            <w:tcW w:w="1305" w:type="dxa"/>
            <w:vMerge w:val="restar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数量指标</w:t>
            </w:r>
          </w:p>
        </w:tc>
        <w:tc>
          <w:tcPr>
            <w:tcW w:w="375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开展优势项目数量（个）</w:t>
            </w:r>
          </w:p>
        </w:tc>
        <w:tc>
          <w:tcPr>
            <w:tcW w:w="1434"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02" w:type="dxa"/>
            <w:vMerge w:val="continue"/>
            <w:shd w:val="clear" w:color="auto" w:fill="DBEEF3"/>
            <w:vAlign w:val="center"/>
          </w:tcPr>
          <w:p>
            <w:pPr>
              <w:jc w:val="center"/>
              <w:rPr>
                <w:rFonts w:ascii="仿宋_GB2312" w:hAnsi="仿宋_GB2312" w:eastAsia="仿宋_GB2312" w:cs="仿宋_GB2312"/>
                <w:b/>
                <w:bCs/>
                <w:sz w:val="24"/>
              </w:rPr>
            </w:pPr>
          </w:p>
        </w:tc>
        <w:tc>
          <w:tcPr>
            <w:tcW w:w="1380" w:type="dxa"/>
            <w:vMerge w:val="continue"/>
            <w:vAlign w:val="center"/>
          </w:tcPr>
          <w:p>
            <w:pPr>
              <w:jc w:val="center"/>
              <w:rPr>
                <w:rFonts w:ascii="仿宋_GB2312" w:hAnsi="仿宋_GB2312" w:eastAsia="仿宋_GB2312" w:cs="仿宋_GB2312"/>
                <w:sz w:val="24"/>
              </w:rPr>
            </w:pPr>
          </w:p>
        </w:tc>
        <w:tc>
          <w:tcPr>
            <w:tcW w:w="1305" w:type="dxa"/>
            <w:vMerge w:val="continue"/>
            <w:vAlign w:val="center"/>
          </w:tcPr>
          <w:p>
            <w:pPr>
              <w:jc w:val="center"/>
              <w:rPr>
                <w:rFonts w:ascii="仿宋_GB2312" w:hAnsi="仿宋_GB2312" w:eastAsia="仿宋_GB2312" w:cs="仿宋_GB2312"/>
                <w:sz w:val="24"/>
              </w:rPr>
            </w:pPr>
          </w:p>
        </w:tc>
        <w:tc>
          <w:tcPr>
            <w:tcW w:w="375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引进高水平教练员人数（人）</w:t>
            </w:r>
          </w:p>
        </w:tc>
        <w:tc>
          <w:tcPr>
            <w:tcW w:w="1434" w:type="dxa"/>
            <w:vAlign w:val="center"/>
          </w:tcPr>
          <w:p>
            <w:pPr>
              <w:widowControl/>
              <w:jc w:val="center"/>
              <w:textAlignment w:val="center"/>
              <w:rPr>
                <w:rFonts w:ascii="仿宋_GB2312" w:hAnsi="仿宋_GB2312" w:eastAsia="仿宋_GB2312" w:cs="仿宋_GB2312"/>
                <w:sz w:val="24"/>
              </w:rPr>
            </w:pPr>
            <w:r>
              <w:rPr>
                <w:rStyle w:val="15"/>
                <w:rFonts w:hint="default" w:ascii="仿宋_GB2312" w:hAnsi="仿宋_GB2312" w:eastAsia="仿宋_GB2312" w:cs="仿宋_GB2312"/>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02" w:type="dxa"/>
            <w:vMerge w:val="continue"/>
            <w:shd w:val="clear" w:color="auto" w:fill="DBEEF3"/>
            <w:vAlign w:val="center"/>
          </w:tcPr>
          <w:p>
            <w:pPr>
              <w:jc w:val="center"/>
              <w:rPr>
                <w:rFonts w:ascii="仿宋_GB2312" w:hAnsi="仿宋_GB2312" w:eastAsia="仿宋_GB2312" w:cs="仿宋_GB2312"/>
                <w:b/>
                <w:bCs/>
                <w:sz w:val="24"/>
              </w:rPr>
            </w:pPr>
          </w:p>
        </w:tc>
        <w:tc>
          <w:tcPr>
            <w:tcW w:w="1380" w:type="dxa"/>
            <w:vMerge w:val="continue"/>
            <w:vAlign w:val="center"/>
          </w:tcPr>
          <w:p>
            <w:pPr>
              <w:jc w:val="center"/>
              <w:rPr>
                <w:rFonts w:ascii="仿宋_GB2312" w:hAnsi="仿宋_GB2312" w:eastAsia="仿宋_GB2312" w:cs="仿宋_GB2312"/>
                <w:sz w:val="24"/>
              </w:rPr>
            </w:pPr>
          </w:p>
        </w:tc>
        <w:tc>
          <w:tcPr>
            <w:tcW w:w="1305" w:type="dxa"/>
            <w:vMerge w:val="continue"/>
            <w:vAlign w:val="center"/>
          </w:tcPr>
          <w:p>
            <w:pPr>
              <w:jc w:val="center"/>
              <w:rPr>
                <w:rFonts w:ascii="仿宋_GB2312" w:hAnsi="仿宋_GB2312" w:eastAsia="仿宋_GB2312" w:cs="仿宋_GB2312"/>
                <w:sz w:val="24"/>
              </w:rPr>
            </w:pPr>
          </w:p>
        </w:tc>
        <w:tc>
          <w:tcPr>
            <w:tcW w:w="375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引进高水平运动员人数（人）</w:t>
            </w:r>
          </w:p>
        </w:tc>
        <w:tc>
          <w:tcPr>
            <w:tcW w:w="1434" w:type="dxa"/>
            <w:vAlign w:val="center"/>
          </w:tcPr>
          <w:p>
            <w:pPr>
              <w:widowControl/>
              <w:jc w:val="center"/>
              <w:textAlignment w:val="center"/>
              <w:rPr>
                <w:rFonts w:ascii="仿宋_GB2312" w:hAnsi="仿宋_GB2312" w:eastAsia="仿宋_GB2312" w:cs="仿宋_GB2312"/>
                <w:sz w:val="24"/>
              </w:rPr>
            </w:pPr>
            <w:r>
              <w:rPr>
                <w:rStyle w:val="15"/>
                <w:rFonts w:hint="default" w:ascii="仿宋_GB2312" w:hAnsi="仿宋_GB2312" w:eastAsia="仿宋_GB2312" w:cs="仿宋_GB2312"/>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02" w:type="dxa"/>
            <w:vMerge w:val="continue"/>
            <w:shd w:val="clear" w:color="auto" w:fill="DBEEF3"/>
            <w:vAlign w:val="center"/>
          </w:tcPr>
          <w:p>
            <w:pPr>
              <w:jc w:val="center"/>
              <w:rPr>
                <w:rFonts w:ascii="仿宋_GB2312" w:hAnsi="仿宋_GB2312" w:eastAsia="仿宋_GB2312" w:cs="仿宋_GB2312"/>
                <w:b/>
                <w:bCs/>
                <w:sz w:val="24"/>
              </w:rPr>
            </w:pPr>
          </w:p>
        </w:tc>
        <w:tc>
          <w:tcPr>
            <w:tcW w:w="1380" w:type="dxa"/>
            <w:vMerge w:val="continue"/>
            <w:vAlign w:val="center"/>
          </w:tcPr>
          <w:p>
            <w:pPr>
              <w:jc w:val="center"/>
              <w:rPr>
                <w:rFonts w:ascii="仿宋_GB2312" w:hAnsi="仿宋_GB2312" w:eastAsia="仿宋_GB2312" w:cs="仿宋_GB2312"/>
                <w:sz w:val="24"/>
              </w:rPr>
            </w:pPr>
          </w:p>
        </w:tc>
        <w:tc>
          <w:tcPr>
            <w:tcW w:w="1305" w:type="dxa"/>
            <w:vMerge w:val="continue"/>
            <w:vAlign w:val="center"/>
          </w:tcPr>
          <w:p>
            <w:pPr>
              <w:jc w:val="center"/>
              <w:rPr>
                <w:rFonts w:ascii="仿宋_GB2312" w:hAnsi="仿宋_GB2312" w:eastAsia="仿宋_GB2312" w:cs="仿宋_GB2312"/>
                <w:sz w:val="24"/>
              </w:rPr>
            </w:pPr>
          </w:p>
        </w:tc>
        <w:tc>
          <w:tcPr>
            <w:tcW w:w="375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引进专业运动领域复合团队专家数（人）</w:t>
            </w:r>
          </w:p>
        </w:tc>
        <w:tc>
          <w:tcPr>
            <w:tcW w:w="1434"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02" w:type="dxa"/>
            <w:vMerge w:val="continue"/>
            <w:shd w:val="clear" w:color="auto" w:fill="DBEEF3"/>
            <w:vAlign w:val="center"/>
          </w:tcPr>
          <w:p>
            <w:pPr>
              <w:jc w:val="center"/>
              <w:rPr>
                <w:rFonts w:ascii="仿宋_GB2312" w:hAnsi="仿宋_GB2312" w:eastAsia="仿宋_GB2312" w:cs="仿宋_GB2312"/>
                <w:b/>
                <w:bCs/>
                <w:sz w:val="24"/>
              </w:rPr>
            </w:pPr>
          </w:p>
        </w:tc>
        <w:tc>
          <w:tcPr>
            <w:tcW w:w="1380" w:type="dxa"/>
            <w:vMerge w:val="continue"/>
            <w:vAlign w:val="center"/>
          </w:tcPr>
          <w:p>
            <w:pPr>
              <w:jc w:val="center"/>
              <w:rPr>
                <w:rFonts w:ascii="仿宋_GB2312" w:hAnsi="仿宋_GB2312" w:eastAsia="仿宋_GB2312" w:cs="仿宋_GB2312"/>
                <w:sz w:val="24"/>
              </w:rPr>
            </w:pPr>
          </w:p>
        </w:tc>
        <w:tc>
          <w:tcPr>
            <w:tcW w:w="1305" w:type="dxa"/>
            <w:vMerge w:val="continue"/>
            <w:vAlign w:val="center"/>
          </w:tcPr>
          <w:p>
            <w:pPr>
              <w:jc w:val="center"/>
              <w:rPr>
                <w:rFonts w:ascii="仿宋_GB2312" w:hAnsi="仿宋_GB2312" w:eastAsia="仿宋_GB2312" w:cs="仿宋_GB2312"/>
                <w:sz w:val="24"/>
              </w:rPr>
            </w:pPr>
          </w:p>
        </w:tc>
        <w:tc>
          <w:tcPr>
            <w:tcW w:w="375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依托社会力量申办和建设高水平运动队的项目数量（个）</w:t>
            </w:r>
          </w:p>
        </w:tc>
        <w:tc>
          <w:tcPr>
            <w:tcW w:w="1434"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02" w:type="dxa"/>
            <w:vMerge w:val="continue"/>
            <w:shd w:val="clear" w:color="auto" w:fill="DBEEF3"/>
            <w:vAlign w:val="center"/>
          </w:tcPr>
          <w:p>
            <w:pPr>
              <w:jc w:val="center"/>
              <w:rPr>
                <w:rFonts w:ascii="仿宋_GB2312" w:hAnsi="仿宋_GB2312" w:eastAsia="仿宋_GB2312" w:cs="仿宋_GB2312"/>
                <w:b/>
                <w:bCs/>
                <w:sz w:val="24"/>
              </w:rPr>
            </w:pPr>
          </w:p>
        </w:tc>
        <w:tc>
          <w:tcPr>
            <w:tcW w:w="1380" w:type="dxa"/>
            <w:vMerge w:val="continue"/>
            <w:vAlign w:val="center"/>
          </w:tcPr>
          <w:p>
            <w:pPr>
              <w:jc w:val="center"/>
              <w:rPr>
                <w:rFonts w:ascii="仿宋_GB2312" w:hAnsi="仿宋_GB2312" w:eastAsia="仿宋_GB2312" w:cs="仿宋_GB2312"/>
                <w:sz w:val="24"/>
              </w:rPr>
            </w:pPr>
          </w:p>
        </w:tc>
        <w:tc>
          <w:tcPr>
            <w:tcW w:w="1305" w:type="dxa"/>
            <w:vMerge w:val="continue"/>
            <w:vAlign w:val="center"/>
          </w:tcPr>
          <w:p>
            <w:pPr>
              <w:jc w:val="center"/>
              <w:rPr>
                <w:rFonts w:ascii="仿宋_GB2312" w:hAnsi="仿宋_GB2312" w:eastAsia="仿宋_GB2312" w:cs="仿宋_GB2312"/>
                <w:sz w:val="24"/>
              </w:rPr>
            </w:pPr>
          </w:p>
        </w:tc>
        <w:tc>
          <w:tcPr>
            <w:tcW w:w="375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参加国内比赛人次（人次）</w:t>
            </w:r>
          </w:p>
        </w:tc>
        <w:tc>
          <w:tcPr>
            <w:tcW w:w="1434" w:type="dxa"/>
            <w:vAlign w:val="center"/>
          </w:tcPr>
          <w:p>
            <w:pPr>
              <w:widowControl/>
              <w:jc w:val="center"/>
              <w:textAlignment w:val="center"/>
              <w:rPr>
                <w:rFonts w:ascii="仿宋_GB2312" w:hAnsi="仿宋_GB2312" w:eastAsia="仿宋_GB2312" w:cs="仿宋_GB2312"/>
                <w:sz w:val="24"/>
              </w:rPr>
            </w:pPr>
            <w:r>
              <w:rPr>
                <w:rStyle w:val="15"/>
                <w:rFonts w:hint="default" w:ascii="仿宋_GB2312" w:hAnsi="仿宋_GB2312" w:eastAsia="仿宋_GB2312" w:cs="仿宋_GB2312"/>
              </w:rPr>
              <w:t>≥3400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02" w:type="dxa"/>
            <w:vMerge w:val="continue"/>
            <w:shd w:val="clear" w:color="auto" w:fill="DBEEF3"/>
            <w:vAlign w:val="center"/>
          </w:tcPr>
          <w:p>
            <w:pPr>
              <w:jc w:val="center"/>
              <w:rPr>
                <w:rFonts w:ascii="仿宋_GB2312" w:hAnsi="仿宋_GB2312" w:eastAsia="仿宋_GB2312" w:cs="仿宋_GB2312"/>
                <w:b/>
                <w:bCs/>
                <w:sz w:val="24"/>
              </w:rPr>
            </w:pPr>
          </w:p>
        </w:tc>
        <w:tc>
          <w:tcPr>
            <w:tcW w:w="1380" w:type="dxa"/>
            <w:vMerge w:val="continue"/>
            <w:vAlign w:val="center"/>
          </w:tcPr>
          <w:p>
            <w:pPr>
              <w:jc w:val="center"/>
              <w:rPr>
                <w:rFonts w:ascii="仿宋_GB2312" w:hAnsi="仿宋_GB2312" w:eastAsia="仿宋_GB2312" w:cs="仿宋_GB2312"/>
                <w:sz w:val="24"/>
              </w:rPr>
            </w:pPr>
          </w:p>
        </w:tc>
        <w:tc>
          <w:tcPr>
            <w:tcW w:w="1305" w:type="dxa"/>
            <w:vMerge w:val="restar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质量指标</w:t>
            </w:r>
          </w:p>
        </w:tc>
        <w:tc>
          <w:tcPr>
            <w:tcW w:w="3750"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pacing w:val="-11"/>
                <w:sz w:val="24"/>
              </w:rPr>
              <w:t>教练员年度考核合格率（%）</w:t>
            </w:r>
          </w:p>
        </w:tc>
        <w:tc>
          <w:tcPr>
            <w:tcW w:w="1434"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02" w:type="dxa"/>
            <w:vMerge w:val="continue"/>
            <w:shd w:val="clear" w:color="auto" w:fill="DBEEF3"/>
            <w:vAlign w:val="center"/>
          </w:tcPr>
          <w:p>
            <w:pPr>
              <w:jc w:val="center"/>
              <w:rPr>
                <w:rFonts w:ascii="仿宋_GB2312" w:hAnsi="仿宋_GB2312" w:eastAsia="仿宋_GB2312" w:cs="仿宋_GB2312"/>
                <w:b/>
                <w:bCs/>
                <w:sz w:val="24"/>
              </w:rPr>
            </w:pPr>
          </w:p>
        </w:tc>
        <w:tc>
          <w:tcPr>
            <w:tcW w:w="1380" w:type="dxa"/>
            <w:vMerge w:val="continue"/>
            <w:vAlign w:val="center"/>
          </w:tcPr>
          <w:p>
            <w:pPr>
              <w:jc w:val="center"/>
              <w:rPr>
                <w:rFonts w:ascii="仿宋_GB2312" w:hAnsi="仿宋_GB2312" w:eastAsia="仿宋_GB2312" w:cs="仿宋_GB2312"/>
                <w:sz w:val="24"/>
              </w:rPr>
            </w:pPr>
          </w:p>
        </w:tc>
        <w:tc>
          <w:tcPr>
            <w:tcW w:w="1305" w:type="dxa"/>
            <w:vMerge w:val="continue"/>
            <w:vAlign w:val="center"/>
          </w:tcPr>
          <w:p>
            <w:pPr>
              <w:jc w:val="center"/>
              <w:rPr>
                <w:rFonts w:ascii="仿宋_GB2312" w:hAnsi="仿宋_GB2312" w:eastAsia="仿宋_GB2312" w:cs="仿宋_GB2312"/>
                <w:sz w:val="24"/>
              </w:rPr>
            </w:pPr>
          </w:p>
        </w:tc>
        <w:tc>
          <w:tcPr>
            <w:tcW w:w="3750"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pacing w:val="-11"/>
                <w:sz w:val="24"/>
              </w:rPr>
              <w:t>运动员年度考核合格率（%）</w:t>
            </w:r>
          </w:p>
        </w:tc>
        <w:tc>
          <w:tcPr>
            <w:tcW w:w="1434"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02" w:type="dxa"/>
            <w:vMerge w:val="continue"/>
            <w:shd w:val="clear" w:color="auto" w:fill="DBEEF3"/>
            <w:vAlign w:val="center"/>
          </w:tcPr>
          <w:p>
            <w:pPr>
              <w:jc w:val="center"/>
              <w:rPr>
                <w:rFonts w:ascii="仿宋_GB2312" w:hAnsi="仿宋_GB2312" w:eastAsia="仿宋_GB2312" w:cs="仿宋_GB2312"/>
                <w:b/>
                <w:bCs/>
                <w:sz w:val="24"/>
              </w:rPr>
            </w:pPr>
          </w:p>
        </w:tc>
        <w:tc>
          <w:tcPr>
            <w:tcW w:w="1380" w:type="dxa"/>
            <w:vMerge w:val="continue"/>
            <w:vAlign w:val="center"/>
          </w:tcPr>
          <w:p>
            <w:pPr>
              <w:jc w:val="center"/>
              <w:rPr>
                <w:rFonts w:ascii="仿宋_GB2312" w:hAnsi="仿宋_GB2312" w:eastAsia="仿宋_GB2312" w:cs="仿宋_GB2312"/>
                <w:sz w:val="24"/>
              </w:rPr>
            </w:pPr>
          </w:p>
        </w:tc>
        <w:tc>
          <w:tcPr>
            <w:tcW w:w="1305" w:type="dxa"/>
            <w:vMerge w:val="continue"/>
            <w:vAlign w:val="center"/>
          </w:tcPr>
          <w:p>
            <w:pPr>
              <w:jc w:val="center"/>
              <w:rPr>
                <w:rFonts w:ascii="仿宋_GB2312" w:hAnsi="仿宋_GB2312" w:eastAsia="仿宋_GB2312" w:cs="仿宋_GB2312"/>
                <w:sz w:val="24"/>
              </w:rPr>
            </w:pPr>
          </w:p>
        </w:tc>
        <w:tc>
          <w:tcPr>
            <w:tcW w:w="3750"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反兴奋剂培训运动员覆盖率（%）</w:t>
            </w:r>
          </w:p>
        </w:tc>
        <w:tc>
          <w:tcPr>
            <w:tcW w:w="1434"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02" w:type="dxa"/>
            <w:vMerge w:val="continue"/>
            <w:shd w:val="clear" w:color="auto" w:fill="DBEEF3"/>
            <w:vAlign w:val="center"/>
          </w:tcPr>
          <w:p>
            <w:pPr>
              <w:jc w:val="center"/>
              <w:rPr>
                <w:rFonts w:ascii="仿宋_GB2312" w:hAnsi="仿宋_GB2312" w:eastAsia="仿宋_GB2312" w:cs="仿宋_GB2312"/>
                <w:b/>
                <w:bCs/>
                <w:sz w:val="24"/>
              </w:rPr>
            </w:pPr>
          </w:p>
        </w:tc>
        <w:tc>
          <w:tcPr>
            <w:tcW w:w="1380" w:type="dxa"/>
            <w:vMerge w:val="continue"/>
            <w:vAlign w:val="center"/>
          </w:tcPr>
          <w:p>
            <w:pPr>
              <w:jc w:val="center"/>
              <w:rPr>
                <w:rFonts w:ascii="仿宋_GB2312" w:hAnsi="仿宋_GB2312" w:eastAsia="仿宋_GB2312" w:cs="仿宋_GB2312"/>
                <w:sz w:val="24"/>
              </w:rPr>
            </w:pPr>
          </w:p>
        </w:tc>
        <w:tc>
          <w:tcPr>
            <w:tcW w:w="1305" w:type="dxa"/>
            <w:vMerge w:val="continue"/>
            <w:vAlign w:val="center"/>
          </w:tcPr>
          <w:p>
            <w:pPr>
              <w:jc w:val="center"/>
              <w:rPr>
                <w:rFonts w:ascii="仿宋_GB2312" w:hAnsi="仿宋_GB2312" w:eastAsia="仿宋_GB2312" w:cs="仿宋_GB2312"/>
                <w:sz w:val="24"/>
              </w:rPr>
            </w:pPr>
          </w:p>
        </w:tc>
        <w:tc>
          <w:tcPr>
            <w:tcW w:w="3750"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pacing w:val="-11"/>
                <w:sz w:val="24"/>
              </w:rPr>
              <w:t>设立二线队伍的项目比例（%）</w:t>
            </w:r>
          </w:p>
        </w:tc>
        <w:tc>
          <w:tcPr>
            <w:tcW w:w="1434"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02" w:type="dxa"/>
            <w:vMerge w:val="continue"/>
            <w:shd w:val="clear" w:color="auto" w:fill="DBEEF3"/>
            <w:vAlign w:val="center"/>
          </w:tcPr>
          <w:p>
            <w:pPr>
              <w:jc w:val="center"/>
              <w:rPr>
                <w:rFonts w:ascii="仿宋_GB2312" w:hAnsi="仿宋_GB2312" w:eastAsia="仿宋_GB2312" w:cs="仿宋_GB2312"/>
                <w:b/>
                <w:bCs/>
                <w:sz w:val="24"/>
              </w:rPr>
            </w:pPr>
          </w:p>
        </w:tc>
        <w:tc>
          <w:tcPr>
            <w:tcW w:w="1380" w:type="dxa"/>
            <w:vMerge w:val="restar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效益指标</w:t>
            </w:r>
          </w:p>
        </w:tc>
        <w:tc>
          <w:tcPr>
            <w:tcW w:w="1305" w:type="dxa"/>
            <w:vMerge w:val="restar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社会效益</w:t>
            </w:r>
          </w:p>
        </w:tc>
        <w:tc>
          <w:tcPr>
            <w:tcW w:w="375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年度重要一次比赛的金牌数（枚）</w:t>
            </w:r>
          </w:p>
        </w:tc>
        <w:tc>
          <w:tcPr>
            <w:tcW w:w="1434"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02" w:type="dxa"/>
            <w:vMerge w:val="continue"/>
            <w:shd w:val="clear" w:color="auto" w:fill="DBEEF3"/>
            <w:vAlign w:val="center"/>
          </w:tcPr>
          <w:p>
            <w:pPr>
              <w:jc w:val="center"/>
              <w:rPr>
                <w:rFonts w:ascii="仿宋_GB2312" w:hAnsi="仿宋_GB2312" w:eastAsia="仿宋_GB2312" w:cs="仿宋_GB2312"/>
                <w:b/>
                <w:bCs/>
                <w:sz w:val="24"/>
              </w:rPr>
            </w:pPr>
          </w:p>
        </w:tc>
        <w:tc>
          <w:tcPr>
            <w:tcW w:w="1380" w:type="dxa"/>
            <w:vMerge w:val="continue"/>
            <w:vAlign w:val="center"/>
          </w:tcPr>
          <w:p>
            <w:pPr>
              <w:jc w:val="center"/>
              <w:rPr>
                <w:rFonts w:ascii="仿宋_GB2312" w:hAnsi="仿宋_GB2312" w:eastAsia="仿宋_GB2312" w:cs="仿宋_GB2312"/>
                <w:sz w:val="24"/>
              </w:rPr>
            </w:pPr>
          </w:p>
        </w:tc>
        <w:tc>
          <w:tcPr>
            <w:tcW w:w="1305" w:type="dxa"/>
            <w:vMerge w:val="continue"/>
            <w:vAlign w:val="center"/>
          </w:tcPr>
          <w:p>
            <w:pPr>
              <w:jc w:val="center"/>
              <w:rPr>
                <w:rFonts w:ascii="仿宋_GB2312" w:hAnsi="仿宋_GB2312" w:eastAsia="仿宋_GB2312" w:cs="仿宋_GB2312"/>
                <w:sz w:val="24"/>
              </w:rPr>
            </w:pPr>
          </w:p>
        </w:tc>
        <w:tc>
          <w:tcPr>
            <w:tcW w:w="375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亚运会参赛成绩</w:t>
            </w:r>
          </w:p>
        </w:tc>
        <w:tc>
          <w:tcPr>
            <w:tcW w:w="1434"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全国前三名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02" w:type="dxa"/>
            <w:vMerge w:val="continue"/>
            <w:shd w:val="clear" w:color="auto" w:fill="DBEEF3"/>
            <w:vAlign w:val="center"/>
          </w:tcPr>
          <w:p>
            <w:pPr>
              <w:jc w:val="center"/>
              <w:rPr>
                <w:rFonts w:ascii="仿宋_GB2312" w:hAnsi="仿宋_GB2312" w:eastAsia="仿宋_GB2312" w:cs="仿宋_GB2312"/>
                <w:b/>
                <w:bCs/>
                <w:sz w:val="24"/>
              </w:rPr>
            </w:pPr>
          </w:p>
        </w:tc>
        <w:tc>
          <w:tcPr>
            <w:tcW w:w="1380" w:type="dxa"/>
            <w:vMerge w:val="continue"/>
            <w:vAlign w:val="center"/>
          </w:tcPr>
          <w:p>
            <w:pPr>
              <w:jc w:val="center"/>
              <w:rPr>
                <w:rFonts w:ascii="仿宋_GB2312" w:hAnsi="仿宋_GB2312" w:eastAsia="仿宋_GB2312" w:cs="仿宋_GB2312"/>
                <w:sz w:val="24"/>
              </w:rPr>
            </w:pPr>
          </w:p>
        </w:tc>
        <w:tc>
          <w:tcPr>
            <w:tcW w:w="1305" w:type="dxa"/>
            <w:vMerge w:val="continue"/>
            <w:vAlign w:val="center"/>
          </w:tcPr>
          <w:p>
            <w:pPr>
              <w:jc w:val="center"/>
              <w:rPr>
                <w:rFonts w:ascii="仿宋_GB2312" w:hAnsi="仿宋_GB2312" w:eastAsia="仿宋_GB2312" w:cs="仿宋_GB2312"/>
                <w:sz w:val="24"/>
              </w:rPr>
            </w:pPr>
          </w:p>
        </w:tc>
        <w:tc>
          <w:tcPr>
            <w:tcW w:w="375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向国家队输送运动员人数（人）</w:t>
            </w:r>
          </w:p>
        </w:tc>
        <w:tc>
          <w:tcPr>
            <w:tcW w:w="1434"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02" w:type="dxa"/>
            <w:vMerge w:val="continue"/>
            <w:shd w:val="clear" w:color="auto" w:fill="DBEEF3"/>
            <w:vAlign w:val="center"/>
          </w:tcPr>
          <w:p>
            <w:pPr>
              <w:jc w:val="center"/>
              <w:rPr>
                <w:rFonts w:ascii="仿宋_GB2312" w:hAnsi="仿宋_GB2312" w:eastAsia="仿宋_GB2312" w:cs="仿宋_GB2312"/>
                <w:b/>
                <w:bCs/>
                <w:sz w:val="24"/>
              </w:rPr>
            </w:pPr>
          </w:p>
        </w:tc>
        <w:tc>
          <w:tcPr>
            <w:tcW w:w="1380" w:type="dxa"/>
            <w:vMerge w:val="continue"/>
            <w:vAlign w:val="center"/>
          </w:tcPr>
          <w:p>
            <w:pPr>
              <w:jc w:val="center"/>
              <w:rPr>
                <w:rFonts w:ascii="仿宋_GB2312" w:hAnsi="仿宋_GB2312" w:eastAsia="仿宋_GB2312" w:cs="仿宋_GB2312"/>
                <w:sz w:val="24"/>
              </w:rPr>
            </w:pPr>
          </w:p>
        </w:tc>
        <w:tc>
          <w:tcPr>
            <w:tcW w:w="1305" w:type="dxa"/>
            <w:vMerge w:val="continue"/>
            <w:vAlign w:val="center"/>
          </w:tcPr>
          <w:p>
            <w:pPr>
              <w:jc w:val="center"/>
              <w:rPr>
                <w:rFonts w:ascii="仿宋_GB2312" w:hAnsi="仿宋_GB2312" w:eastAsia="仿宋_GB2312" w:cs="仿宋_GB2312"/>
                <w:sz w:val="24"/>
              </w:rPr>
            </w:pPr>
          </w:p>
        </w:tc>
        <w:tc>
          <w:tcPr>
            <w:tcW w:w="375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对体育强省建设工作的促进作用</w:t>
            </w:r>
          </w:p>
        </w:tc>
        <w:tc>
          <w:tcPr>
            <w:tcW w:w="1434"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有效促进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02" w:type="dxa"/>
            <w:vMerge w:val="continue"/>
            <w:shd w:val="clear" w:color="auto" w:fill="DBEEF3"/>
            <w:vAlign w:val="center"/>
          </w:tcPr>
          <w:p>
            <w:pPr>
              <w:jc w:val="center"/>
              <w:rPr>
                <w:rFonts w:ascii="仿宋_GB2312" w:hAnsi="仿宋_GB2312" w:eastAsia="仿宋_GB2312" w:cs="仿宋_GB2312"/>
                <w:b/>
                <w:bCs/>
                <w:sz w:val="24"/>
              </w:rPr>
            </w:pPr>
          </w:p>
        </w:tc>
        <w:tc>
          <w:tcPr>
            <w:tcW w:w="1380" w:type="dxa"/>
            <w:vMerge w:val="continue"/>
            <w:vAlign w:val="center"/>
          </w:tcPr>
          <w:p>
            <w:pPr>
              <w:jc w:val="center"/>
              <w:rPr>
                <w:rFonts w:ascii="仿宋_GB2312" w:hAnsi="仿宋_GB2312" w:eastAsia="仿宋_GB2312" w:cs="仿宋_GB2312"/>
                <w:sz w:val="24"/>
              </w:rPr>
            </w:pPr>
          </w:p>
        </w:tc>
        <w:tc>
          <w:tcPr>
            <w:tcW w:w="1305"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服务对象满意度</w:t>
            </w:r>
          </w:p>
        </w:tc>
        <w:tc>
          <w:tcPr>
            <w:tcW w:w="3750"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受训人员满意度（%）</w:t>
            </w:r>
          </w:p>
        </w:tc>
        <w:tc>
          <w:tcPr>
            <w:tcW w:w="1434"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≥90</w:t>
            </w:r>
          </w:p>
        </w:tc>
      </w:tr>
    </w:tbl>
    <w:p>
      <w:pPr>
        <w:spacing w:before="156" w:beforeLines="50" w:line="360" w:lineRule="auto"/>
        <w:jc w:val="center"/>
        <w:rPr>
          <w:rFonts w:ascii="黑体" w:hAnsi="黑体" w:eastAsia="黑体" w:cs="黑体"/>
          <w:sz w:val="28"/>
          <w:szCs w:val="28"/>
        </w:rPr>
      </w:pPr>
      <w:r>
        <w:rPr>
          <w:rFonts w:hint="eastAsia" w:ascii="黑体" w:hAnsi="黑体" w:eastAsia="黑体" w:cs="黑体"/>
          <w:sz w:val="28"/>
          <w:szCs w:val="28"/>
        </w:rPr>
        <w:t>表1-3 竞技体育项目（资助承办竞技类体育赛事）绩效目标表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0"/>
        <w:gridCol w:w="1305"/>
        <w:gridCol w:w="1350"/>
        <w:gridCol w:w="3069"/>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14" w:hRule="atLeast"/>
          <w:jc w:val="center"/>
        </w:trPr>
        <w:tc>
          <w:tcPr>
            <w:tcW w:w="1320" w:type="dxa"/>
            <w:shd w:val="clear" w:color="auto" w:fill="DBEEF3"/>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绩效目标</w:t>
            </w:r>
          </w:p>
        </w:tc>
        <w:tc>
          <w:tcPr>
            <w:tcW w:w="7854" w:type="dxa"/>
            <w:gridSpan w:val="4"/>
            <w:vAlign w:val="center"/>
          </w:tcPr>
          <w:p>
            <w:pPr>
              <w:ind w:firstLine="480" w:firstLineChars="200"/>
              <w:rPr>
                <w:rFonts w:ascii="仿宋_GB2312" w:hAnsi="仿宋_GB2312" w:eastAsia="仿宋_GB2312" w:cs="仿宋_GB2312"/>
                <w:sz w:val="24"/>
                <w:szCs w:val="28"/>
              </w:rPr>
            </w:pPr>
            <w:r>
              <w:rPr>
                <w:rFonts w:hint="eastAsia" w:ascii="仿宋_GB2312" w:hAnsi="仿宋_GB2312" w:eastAsia="仿宋_GB2312" w:cs="仿宋_GB2312"/>
                <w:sz w:val="24"/>
                <w:szCs w:val="28"/>
              </w:rPr>
              <w:t>1.精心组织和承办国内外赛事，确保流程顺畅安全。</w:t>
            </w:r>
          </w:p>
          <w:p>
            <w:pPr>
              <w:ind w:firstLine="480" w:firstLineChars="200"/>
              <w:rPr>
                <w:rFonts w:ascii="仿宋_GB2312" w:hAnsi="仿宋_GB2312" w:eastAsia="仿宋_GB2312" w:cs="仿宋_GB2312"/>
                <w:sz w:val="24"/>
                <w:szCs w:val="28"/>
              </w:rPr>
            </w:pPr>
            <w:r>
              <w:rPr>
                <w:rFonts w:hint="eastAsia" w:ascii="仿宋_GB2312" w:hAnsi="仿宋_GB2312" w:eastAsia="仿宋_GB2312" w:cs="仿宋_GB2312"/>
                <w:sz w:val="24"/>
                <w:szCs w:val="28"/>
              </w:rPr>
              <w:t>2.加强对各地市业务指导，推动体育事业健康发展。</w:t>
            </w:r>
          </w:p>
          <w:p>
            <w:pPr>
              <w:ind w:firstLine="480" w:firstLineChars="200"/>
              <w:rPr>
                <w:rFonts w:ascii="仿宋_GB2312" w:hAnsi="仿宋_GB2312" w:eastAsia="仿宋_GB2312" w:cs="仿宋_GB2312"/>
                <w:sz w:val="24"/>
                <w:szCs w:val="28"/>
              </w:rPr>
            </w:pPr>
            <w:r>
              <w:rPr>
                <w:rFonts w:hint="eastAsia" w:ascii="仿宋_GB2312" w:hAnsi="仿宋_GB2312" w:eastAsia="仿宋_GB2312" w:cs="仿宋_GB2312"/>
                <w:sz w:val="24"/>
                <w:szCs w:val="28"/>
              </w:rPr>
              <w:t>3.推进粤港澳大湾区体育事业协同发展，举办系列赛事活动，培养后备人才。</w:t>
            </w:r>
          </w:p>
          <w:p>
            <w:pPr>
              <w:ind w:firstLine="480" w:firstLineChars="200"/>
              <w:rPr>
                <w:rFonts w:ascii="仿宋_GB2312" w:hAnsi="仿宋_GB2312" w:eastAsia="仿宋_GB2312" w:cs="仿宋_GB2312"/>
                <w:sz w:val="24"/>
                <w:szCs w:val="28"/>
              </w:rPr>
            </w:pPr>
            <w:r>
              <w:rPr>
                <w:rFonts w:hint="eastAsia" w:ascii="仿宋_GB2312" w:hAnsi="仿宋_GB2312" w:eastAsia="仿宋_GB2312" w:cs="仿宋_GB2312"/>
                <w:sz w:val="24"/>
                <w:szCs w:val="28"/>
              </w:rPr>
              <w:t>4.完成全运会场馆项目建议书、研究报告编制及立项，制定并执行建设标准和运行设计标准，提供专业咨询服务。</w:t>
            </w:r>
          </w:p>
          <w:p>
            <w:pPr>
              <w:ind w:firstLine="480" w:firstLineChars="200"/>
              <w:rPr>
                <w:rFonts w:ascii="仿宋_GB2312" w:hAnsi="仿宋_GB2312" w:eastAsia="仿宋_GB2312" w:cs="仿宋_GB2312"/>
                <w:sz w:val="24"/>
                <w:szCs w:val="28"/>
              </w:rPr>
            </w:pPr>
            <w:r>
              <w:rPr>
                <w:rFonts w:hint="eastAsia" w:ascii="仿宋_GB2312" w:hAnsi="仿宋_GB2312" w:eastAsia="仿宋_GB2312" w:cs="仿宋_GB2312"/>
                <w:sz w:val="24"/>
                <w:szCs w:val="28"/>
              </w:rPr>
              <w:t>5.支持第十五届全运会筹委会队伍建设，协助筹措经费、开展培训；制定落实筹备计划，与媒体合作宣传全运会。</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sz w:val="24"/>
                <w:szCs w:val="28"/>
              </w:rPr>
              <w:t>6.完成筹委会办公场所租赁，优化工作流程，提升效率。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20" w:type="dxa"/>
            <w:vMerge w:val="restart"/>
            <w:shd w:val="clear" w:color="auto" w:fill="DBEEF3"/>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绩效指标</w:t>
            </w:r>
          </w:p>
        </w:tc>
        <w:tc>
          <w:tcPr>
            <w:tcW w:w="1305"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一级指标</w:t>
            </w:r>
          </w:p>
        </w:tc>
        <w:tc>
          <w:tcPr>
            <w:tcW w:w="1350"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二级指标</w:t>
            </w:r>
          </w:p>
        </w:tc>
        <w:tc>
          <w:tcPr>
            <w:tcW w:w="3069"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三级指标</w:t>
            </w:r>
          </w:p>
        </w:tc>
        <w:tc>
          <w:tcPr>
            <w:tcW w:w="2130"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年度目标值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20" w:type="dxa"/>
            <w:vMerge w:val="continue"/>
            <w:shd w:val="clear" w:color="auto" w:fill="DBEEF3"/>
            <w:vAlign w:val="center"/>
          </w:tcPr>
          <w:p>
            <w:pPr>
              <w:jc w:val="center"/>
              <w:rPr>
                <w:rFonts w:ascii="仿宋_GB2312" w:hAnsi="仿宋_GB2312" w:eastAsia="仿宋_GB2312" w:cs="仿宋_GB2312"/>
                <w:b/>
                <w:bCs/>
                <w:sz w:val="24"/>
              </w:rPr>
            </w:pPr>
          </w:p>
        </w:tc>
        <w:tc>
          <w:tcPr>
            <w:tcW w:w="1305" w:type="dxa"/>
            <w:vMerge w:val="restar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产出指标</w:t>
            </w:r>
          </w:p>
        </w:tc>
        <w:tc>
          <w:tcPr>
            <w:tcW w:w="1350" w:type="dxa"/>
            <w:vMerge w:val="restar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数量指标</w:t>
            </w:r>
          </w:p>
        </w:tc>
        <w:tc>
          <w:tcPr>
            <w:tcW w:w="3069"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宣传报道次数（次）</w:t>
            </w:r>
          </w:p>
        </w:tc>
        <w:tc>
          <w:tcPr>
            <w:tcW w:w="213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20" w:type="dxa"/>
            <w:vMerge w:val="continue"/>
            <w:shd w:val="clear" w:color="auto" w:fill="DBEEF3"/>
            <w:vAlign w:val="center"/>
          </w:tcPr>
          <w:p>
            <w:pPr>
              <w:jc w:val="center"/>
              <w:rPr>
                <w:rFonts w:ascii="仿宋_GB2312" w:hAnsi="仿宋_GB2312" w:eastAsia="仿宋_GB2312" w:cs="仿宋_GB2312"/>
                <w:b/>
                <w:bCs/>
                <w:sz w:val="24"/>
              </w:rPr>
            </w:pPr>
          </w:p>
        </w:tc>
        <w:tc>
          <w:tcPr>
            <w:tcW w:w="1305" w:type="dxa"/>
            <w:vMerge w:val="continue"/>
            <w:vAlign w:val="center"/>
          </w:tcPr>
          <w:p>
            <w:pPr>
              <w:jc w:val="center"/>
              <w:rPr>
                <w:rFonts w:ascii="仿宋_GB2312" w:hAnsi="仿宋_GB2312" w:eastAsia="仿宋_GB2312" w:cs="仿宋_GB2312"/>
                <w:sz w:val="24"/>
              </w:rPr>
            </w:pPr>
          </w:p>
        </w:tc>
        <w:tc>
          <w:tcPr>
            <w:tcW w:w="1350" w:type="dxa"/>
            <w:vMerge w:val="continue"/>
            <w:vAlign w:val="center"/>
          </w:tcPr>
          <w:p>
            <w:pPr>
              <w:jc w:val="center"/>
              <w:rPr>
                <w:rFonts w:ascii="仿宋_GB2312" w:hAnsi="仿宋_GB2312" w:eastAsia="仿宋_GB2312" w:cs="仿宋_GB2312"/>
                <w:sz w:val="24"/>
              </w:rPr>
            </w:pPr>
          </w:p>
        </w:tc>
        <w:tc>
          <w:tcPr>
            <w:tcW w:w="3069"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在我省举办或承办的全国及以上赛事（项次）</w:t>
            </w:r>
          </w:p>
        </w:tc>
        <w:tc>
          <w:tcPr>
            <w:tcW w:w="213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20" w:type="dxa"/>
            <w:vMerge w:val="continue"/>
            <w:shd w:val="clear" w:color="auto" w:fill="DBEEF3"/>
            <w:vAlign w:val="center"/>
          </w:tcPr>
          <w:p>
            <w:pPr>
              <w:jc w:val="center"/>
              <w:rPr>
                <w:rFonts w:ascii="仿宋_GB2312" w:hAnsi="仿宋_GB2312" w:eastAsia="仿宋_GB2312" w:cs="仿宋_GB2312"/>
                <w:b/>
                <w:bCs/>
                <w:sz w:val="24"/>
              </w:rPr>
            </w:pPr>
          </w:p>
        </w:tc>
        <w:tc>
          <w:tcPr>
            <w:tcW w:w="1305" w:type="dxa"/>
            <w:vMerge w:val="continue"/>
            <w:vAlign w:val="center"/>
          </w:tcPr>
          <w:p>
            <w:pPr>
              <w:jc w:val="center"/>
              <w:rPr>
                <w:rFonts w:ascii="仿宋_GB2312" w:hAnsi="仿宋_GB2312" w:eastAsia="仿宋_GB2312" w:cs="仿宋_GB2312"/>
                <w:sz w:val="24"/>
              </w:rPr>
            </w:pPr>
          </w:p>
        </w:tc>
        <w:tc>
          <w:tcPr>
            <w:tcW w:w="1350" w:type="dxa"/>
            <w:vMerge w:val="continue"/>
            <w:vAlign w:val="center"/>
          </w:tcPr>
          <w:p>
            <w:pPr>
              <w:jc w:val="center"/>
              <w:rPr>
                <w:rFonts w:ascii="仿宋_GB2312" w:hAnsi="仿宋_GB2312" w:eastAsia="仿宋_GB2312" w:cs="仿宋_GB2312"/>
                <w:sz w:val="24"/>
              </w:rPr>
            </w:pPr>
          </w:p>
        </w:tc>
        <w:tc>
          <w:tcPr>
            <w:tcW w:w="3069"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项目数量</w:t>
            </w:r>
          </w:p>
        </w:tc>
        <w:tc>
          <w:tcPr>
            <w:tcW w:w="213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20" w:type="dxa"/>
            <w:vMerge w:val="continue"/>
            <w:shd w:val="clear" w:color="auto" w:fill="DBEEF3"/>
            <w:vAlign w:val="center"/>
          </w:tcPr>
          <w:p>
            <w:pPr>
              <w:jc w:val="center"/>
              <w:rPr>
                <w:rFonts w:ascii="仿宋_GB2312" w:hAnsi="仿宋_GB2312" w:eastAsia="仿宋_GB2312" w:cs="仿宋_GB2312"/>
                <w:b/>
                <w:bCs/>
                <w:sz w:val="24"/>
              </w:rPr>
            </w:pPr>
          </w:p>
        </w:tc>
        <w:tc>
          <w:tcPr>
            <w:tcW w:w="1305" w:type="dxa"/>
            <w:vMerge w:val="continue"/>
            <w:vAlign w:val="center"/>
          </w:tcPr>
          <w:p>
            <w:pPr>
              <w:jc w:val="center"/>
              <w:rPr>
                <w:rFonts w:ascii="仿宋_GB2312" w:hAnsi="仿宋_GB2312" w:eastAsia="仿宋_GB2312" w:cs="仿宋_GB2312"/>
                <w:sz w:val="24"/>
              </w:rPr>
            </w:pPr>
          </w:p>
        </w:tc>
        <w:tc>
          <w:tcPr>
            <w:tcW w:w="1350" w:type="dxa"/>
            <w:vMerge w:val="continue"/>
            <w:vAlign w:val="center"/>
          </w:tcPr>
          <w:p>
            <w:pPr>
              <w:jc w:val="center"/>
              <w:rPr>
                <w:rFonts w:ascii="仿宋_GB2312" w:hAnsi="仿宋_GB2312" w:eastAsia="仿宋_GB2312" w:cs="仿宋_GB2312"/>
                <w:sz w:val="24"/>
              </w:rPr>
            </w:pPr>
          </w:p>
        </w:tc>
        <w:tc>
          <w:tcPr>
            <w:tcW w:w="3069"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参赛运动员人数（人）</w:t>
            </w:r>
          </w:p>
        </w:tc>
        <w:tc>
          <w:tcPr>
            <w:tcW w:w="213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≥10600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20" w:type="dxa"/>
            <w:vMerge w:val="continue"/>
            <w:shd w:val="clear" w:color="auto" w:fill="DBEEF3"/>
            <w:vAlign w:val="center"/>
          </w:tcPr>
          <w:p>
            <w:pPr>
              <w:jc w:val="center"/>
              <w:rPr>
                <w:rFonts w:ascii="仿宋_GB2312" w:hAnsi="仿宋_GB2312" w:eastAsia="仿宋_GB2312" w:cs="仿宋_GB2312"/>
                <w:b/>
                <w:bCs/>
                <w:sz w:val="24"/>
              </w:rPr>
            </w:pPr>
          </w:p>
        </w:tc>
        <w:tc>
          <w:tcPr>
            <w:tcW w:w="1305" w:type="dxa"/>
            <w:vMerge w:val="continue"/>
            <w:vAlign w:val="center"/>
          </w:tcPr>
          <w:p>
            <w:pPr>
              <w:jc w:val="center"/>
              <w:rPr>
                <w:rFonts w:ascii="仿宋_GB2312" w:hAnsi="仿宋_GB2312" w:eastAsia="仿宋_GB2312" w:cs="仿宋_GB2312"/>
                <w:sz w:val="24"/>
              </w:rPr>
            </w:pPr>
          </w:p>
        </w:tc>
        <w:tc>
          <w:tcPr>
            <w:tcW w:w="1350" w:type="dxa"/>
            <w:vMerge w:val="continue"/>
            <w:vAlign w:val="center"/>
          </w:tcPr>
          <w:p>
            <w:pPr>
              <w:jc w:val="center"/>
              <w:rPr>
                <w:rFonts w:ascii="仿宋_GB2312" w:hAnsi="仿宋_GB2312" w:eastAsia="仿宋_GB2312" w:cs="仿宋_GB2312"/>
                <w:sz w:val="24"/>
              </w:rPr>
            </w:pPr>
          </w:p>
        </w:tc>
        <w:tc>
          <w:tcPr>
            <w:tcW w:w="3069"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现场观众人数（人）</w:t>
            </w:r>
          </w:p>
        </w:tc>
        <w:tc>
          <w:tcPr>
            <w:tcW w:w="213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20" w:type="dxa"/>
            <w:vMerge w:val="continue"/>
            <w:shd w:val="clear" w:color="auto" w:fill="DBEEF3"/>
            <w:vAlign w:val="center"/>
          </w:tcPr>
          <w:p>
            <w:pPr>
              <w:jc w:val="center"/>
              <w:rPr>
                <w:rFonts w:ascii="仿宋_GB2312" w:hAnsi="仿宋_GB2312" w:eastAsia="仿宋_GB2312" w:cs="仿宋_GB2312"/>
                <w:b/>
                <w:bCs/>
                <w:sz w:val="24"/>
              </w:rPr>
            </w:pPr>
          </w:p>
        </w:tc>
        <w:tc>
          <w:tcPr>
            <w:tcW w:w="1305" w:type="dxa"/>
            <w:vMerge w:val="continue"/>
            <w:vAlign w:val="center"/>
          </w:tcPr>
          <w:p>
            <w:pPr>
              <w:jc w:val="center"/>
              <w:rPr>
                <w:rFonts w:ascii="仿宋_GB2312" w:hAnsi="仿宋_GB2312" w:eastAsia="仿宋_GB2312" w:cs="仿宋_GB2312"/>
                <w:sz w:val="24"/>
              </w:rPr>
            </w:pPr>
          </w:p>
        </w:tc>
        <w:tc>
          <w:tcPr>
            <w:tcW w:w="1350" w:type="dxa"/>
            <w:vMerge w:val="restar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质量指标</w:t>
            </w:r>
          </w:p>
        </w:tc>
        <w:tc>
          <w:tcPr>
            <w:tcW w:w="3069" w:type="dxa"/>
            <w:vAlign w:val="center"/>
          </w:tcPr>
          <w:p>
            <w:pPr>
              <w:widowControl/>
              <w:jc w:val="center"/>
              <w:textAlignment w:val="center"/>
              <w:rPr>
                <w:rFonts w:ascii="仿宋_GB2312" w:hAnsi="仿宋_GB2312" w:eastAsia="仿宋_GB2312" w:cs="仿宋_GB2312"/>
                <w:spacing w:val="-11"/>
                <w:sz w:val="24"/>
              </w:rPr>
            </w:pPr>
            <w:r>
              <w:rPr>
                <w:rFonts w:hint="eastAsia" w:ascii="仿宋_GB2312" w:hAnsi="仿宋_GB2312" w:eastAsia="仿宋_GB2312" w:cs="仿宋_GB2312"/>
                <w:color w:val="000000"/>
                <w:kern w:val="0"/>
                <w:sz w:val="24"/>
              </w:rPr>
              <w:t>赛事人为事故发生数（起）</w:t>
            </w:r>
          </w:p>
        </w:tc>
        <w:tc>
          <w:tcPr>
            <w:tcW w:w="213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20" w:type="dxa"/>
            <w:vMerge w:val="continue"/>
            <w:shd w:val="clear" w:color="auto" w:fill="DBEEF3"/>
            <w:vAlign w:val="center"/>
          </w:tcPr>
          <w:p>
            <w:pPr>
              <w:jc w:val="center"/>
              <w:rPr>
                <w:rFonts w:ascii="仿宋_GB2312" w:hAnsi="仿宋_GB2312" w:eastAsia="仿宋_GB2312" w:cs="仿宋_GB2312"/>
                <w:b/>
                <w:bCs/>
                <w:sz w:val="24"/>
              </w:rPr>
            </w:pPr>
          </w:p>
        </w:tc>
        <w:tc>
          <w:tcPr>
            <w:tcW w:w="1305" w:type="dxa"/>
            <w:vMerge w:val="continue"/>
            <w:vAlign w:val="center"/>
          </w:tcPr>
          <w:p>
            <w:pPr>
              <w:jc w:val="center"/>
              <w:rPr>
                <w:rFonts w:ascii="仿宋_GB2312" w:hAnsi="仿宋_GB2312" w:eastAsia="仿宋_GB2312" w:cs="仿宋_GB2312"/>
                <w:sz w:val="24"/>
              </w:rPr>
            </w:pPr>
          </w:p>
        </w:tc>
        <w:tc>
          <w:tcPr>
            <w:tcW w:w="1350" w:type="dxa"/>
            <w:vMerge w:val="continue"/>
            <w:vAlign w:val="center"/>
          </w:tcPr>
          <w:p>
            <w:pPr>
              <w:jc w:val="center"/>
              <w:rPr>
                <w:rFonts w:ascii="仿宋_GB2312" w:hAnsi="仿宋_GB2312" w:eastAsia="仿宋_GB2312" w:cs="仿宋_GB2312"/>
                <w:sz w:val="24"/>
              </w:rPr>
            </w:pPr>
          </w:p>
        </w:tc>
        <w:tc>
          <w:tcPr>
            <w:tcW w:w="3069" w:type="dxa"/>
            <w:vAlign w:val="center"/>
          </w:tcPr>
          <w:p>
            <w:pPr>
              <w:widowControl/>
              <w:jc w:val="center"/>
              <w:textAlignment w:val="center"/>
              <w:rPr>
                <w:rFonts w:ascii="仿宋_GB2312" w:hAnsi="仿宋_GB2312" w:eastAsia="仿宋_GB2312" w:cs="仿宋_GB2312"/>
                <w:spacing w:val="-11"/>
                <w:sz w:val="24"/>
              </w:rPr>
            </w:pPr>
            <w:r>
              <w:rPr>
                <w:rFonts w:hint="eastAsia" w:ascii="仿宋_GB2312" w:hAnsi="仿宋_GB2312" w:eastAsia="仿宋_GB2312" w:cs="仿宋_GB2312"/>
                <w:color w:val="000000"/>
                <w:kern w:val="0"/>
                <w:sz w:val="24"/>
              </w:rPr>
              <w:t>项目建议书及可行性研究报告编制（项数）</w:t>
            </w:r>
          </w:p>
        </w:tc>
        <w:tc>
          <w:tcPr>
            <w:tcW w:w="213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20" w:type="dxa"/>
            <w:vMerge w:val="continue"/>
            <w:shd w:val="clear" w:color="auto" w:fill="DBEEF3"/>
            <w:vAlign w:val="center"/>
          </w:tcPr>
          <w:p>
            <w:pPr>
              <w:jc w:val="center"/>
              <w:rPr>
                <w:rFonts w:ascii="仿宋_GB2312" w:hAnsi="仿宋_GB2312" w:eastAsia="仿宋_GB2312" w:cs="仿宋_GB2312"/>
                <w:b/>
                <w:bCs/>
                <w:sz w:val="24"/>
              </w:rPr>
            </w:pPr>
          </w:p>
        </w:tc>
        <w:tc>
          <w:tcPr>
            <w:tcW w:w="1305" w:type="dxa"/>
            <w:vMerge w:val="continue"/>
            <w:vAlign w:val="center"/>
          </w:tcPr>
          <w:p>
            <w:pPr>
              <w:jc w:val="center"/>
              <w:rPr>
                <w:rFonts w:ascii="仿宋_GB2312" w:hAnsi="仿宋_GB2312" w:eastAsia="仿宋_GB2312" w:cs="仿宋_GB2312"/>
                <w:sz w:val="24"/>
              </w:rPr>
            </w:pPr>
          </w:p>
        </w:tc>
        <w:tc>
          <w:tcPr>
            <w:tcW w:w="1350" w:type="dxa"/>
            <w:vMerge w:val="continue"/>
            <w:vAlign w:val="center"/>
          </w:tcPr>
          <w:p>
            <w:pPr>
              <w:jc w:val="center"/>
              <w:rPr>
                <w:rFonts w:ascii="仿宋_GB2312" w:hAnsi="仿宋_GB2312" w:eastAsia="仿宋_GB2312" w:cs="仿宋_GB2312"/>
                <w:sz w:val="24"/>
              </w:rPr>
            </w:pPr>
          </w:p>
        </w:tc>
        <w:tc>
          <w:tcPr>
            <w:tcW w:w="3069"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重要比赛赛后信息收集进度</w:t>
            </w:r>
          </w:p>
        </w:tc>
        <w:tc>
          <w:tcPr>
            <w:tcW w:w="213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赛后三十天时间内完成信息收集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20" w:type="dxa"/>
            <w:vMerge w:val="continue"/>
            <w:shd w:val="clear" w:color="auto" w:fill="DBEEF3"/>
            <w:vAlign w:val="center"/>
          </w:tcPr>
          <w:p>
            <w:pPr>
              <w:jc w:val="center"/>
              <w:rPr>
                <w:rFonts w:ascii="仿宋_GB2312" w:hAnsi="仿宋_GB2312" w:eastAsia="仿宋_GB2312" w:cs="仿宋_GB2312"/>
                <w:b/>
                <w:bCs/>
                <w:sz w:val="24"/>
              </w:rPr>
            </w:pPr>
          </w:p>
        </w:tc>
        <w:tc>
          <w:tcPr>
            <w:tcW w:w="1305" w:type="dxa"/>
            <w:vMerge w:val="restar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效益指标</w:t>
            </w:r>
          </w:p>
        </w:tc>
        <w:tc>
          <w:tcPr>
            <w:tcW w:w="1350" w:type="dxa"/>
            <w:vMerge w:val="restar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社会效益</w:t>
            </w:r>
          </w:p>
        </w:tc>
        <w:tc>
          <w:tcPr>
            <w:tcW w:w="3069"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提高公众对体育赛事的关注度</w:t>
            </w:r>
          </w:p>
        </w:tc>
        <w:tc>
          <w:tcPr>
            <w:tcW w:w="213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进一步提升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20" w:type="dxa"/>
            <w:vMerge w:val="continue"/>
            <w:shd w:val="clear" w:color="auto" w:fill="DBEEF3"/>
            <w:vAlign w:val="center"/>
          </w:tcPr>
          <w:p>
            <w:pPr>
              <w:jc w:val="center"/>
              <w:rPr>
                <w:rFonts w:ascii="仿宋_GB2312" w:hAnsi="仿宋_GB2312" w:eastAsia="仿宋_GB2312" w:cs="仿宋_GB2312"/>
                <w:b/>
                <w:bCs/>
                <w:sz w:val="24"/>
              </w:rPr>
            </w:pPr>
          </w:p>
        </w:tc>
        <w:tc>
          <w:tcPr>
            <w:tcW w:w="1305" w:type="dxa"/>
            <w:vMerge w:val="continue"/>
            <w:vAlign w:val="center"/>
          </w:tcPr>
          <w:p>
            <w:pPr>
              <w:jc w:val="center"/>
              <w:rPr>
                <w:rFonts w:ascii="仿宋_GB2312" w:hAnsi="仿宋_GB2312" w:eastAsia="仿宋_GB2312" w:cs="仿宋_GB2312"/>
                <w:sz w:val="24"/>
              </w:rPr>
            </w:pPr>
          </w:p>
        </w:tc>
        <w:tc>
          <w:tcPr>
            <w:tcW w:w="1350" w:type="dxa"/>
            <w:vMerge w:val="continue"/>
            <w:vAlign w:val="center"/>
          </w:tcPr>
          <w:p>
            <w:pPr>
              <w:jc w:val="center"/>
              <w:rPr>
                <w:rFonts w:ascii="仿宋_GB2312" w:hAnsi="仿宋_GB2312" w:eastAsia="仿宋_GB2312" w:cs="仿宋_GB2312"/>
                <w:sz w:val="24"/>
              </w:rPr>
            </w:pPr>
          </w:p>
        </w:tc>
        <w:tc>
          <w:tcPr>
            <w:tcW w:w="3069"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推进粤港澳大湾区和深圳先行示范区体育国际化发展</w:t>
            </w:r>
          </w:p>
        </w:tc>
        <w:tc>
          <w:tcPr>
            <w:tcW w:w="213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通过举办第十五届全运会，进一步促进粤港澳大湾区体育建设，促进社会交流和融合。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20" w:type="dxa"/>
            <w:vMerge w:val="continue"/>
            <w:shd w:val="clear" w:color="auto" w:fill="DBEEF3"/>
            <w:vAlign w:val="center"/>
          </w:tcPr>
          <w:p>
            <w:pPr>
              <w:jc w:val="center"/>
              <w:rPr>
                <w:rFonts w:ascii="仿宋_GB2312" w:hAnsi="仿宋_GB2312" w:eastAsia="仿宋_GB2312" w:cs="仿宋_GB2312"/>
                <w:b/>
                <w:bCs/>
                <w:sz w:val="24"/>
              </w:rPr>
            </w:pPr>
          </w:p>
        </w:tc>
        <w:tc>
          <w:tcPr>
            <w:tcW w:w="1305" w:type="dxa"/>
            <w:vMerge w:val="continue"/>
            <w:vAlign w:val="center"/>
          </w:tcPr>
          <w:p>
            <w:pPr>
              <w:jc w:val="center"/>
              <w:rPr>
                <w:rFonts w:ascii="仿宋_GB2312" w:hAnsi="仿宋_GB2312" w:eastAsia="仿宋_GB2312" w:cs="仿宋_GB2312"/>
                <w:sz w:val="24"/>
              </w:rPr>
            </w:pPr>
          </w:p>
        </w:tc>
        <w:tc>
          <w:tcPr>
            <w:tcW w:w="1350" w:type="dxa"/>
            <w:vMerge w:val="continue"/>
            <w:vAlign w:val="center"/>
          </w:tcPr>
          <w:p>
            <w:pPr>
              <w:jc w:val="center"/>
              <w:rPr>
                <w:rFonts w:ascii="仿宋_GB2312" w:hAnsi="仿宋_GB2312" w:eastAsia="仿宋_GB2312" w:cs="仿宋_GB2312"/>
                <w:sz w:val="24"/>
              </w:rPr>
            </w:pPr>
          </w:p>
        </w:tc>
        <w:tc>
          <w:tcPr>
            <w:tcW w:w="3069"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对体育强省建设工作的促进作用</w:t>
            </w:r>
          </w:p>
        </w:tc>
        <w:tc>
          <w:tcPr>
            <w:tcW w:w="213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通过举办第十五届全运会，进一步加快广东体育强省建设。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20" w:type="dxa"/>
            <w:vMerge w:val="continue"/>
            <w:shd w:val="clear" w:color="auto" w:fill="DBEEF3"/>
            <w:vAlign w:val="center"/>
          </w:tcPr>
          <w:p>
            <w:pPr>
              <w:jc w:val="center"/>
              <w:rPr>
                <w:rFonts w:ascii="仿宋_GB2312" w:hAnsi="仿宋_GB2312" w:eastAsia="仿宋_GB2312" w:cs="仿宋_GB2312"/>
                <w:b/>
                <w:bCs/>
                <w:sz w:val="24"/>
              </w:rPr>
            </w:pPr>
          </w:p>
        </w:tc>
        <w:tc>
          <w:tcPr>
            <w:tcW w:w="1305" w:type="dxa"/>
            <w:vMerge w:val="continue"/>
            <w:vAlign w:val="center"/>
          </w:tcPr>
          <w:p>
            <w:pPr>
              <w:jc w:val="center"/>
              <w:rPr>
                <w:rFonts w:ascii="仿宋_GB2312" w:hAnsi="仿宋_GB2312" w:eastAsia="仿宋_GB2312" w:cs="仿宋_GB2312"/>
                <w:sz w:val="24"/>
              </w:rPr>
            </w:pPr>
          </w:p>
        </w:tc>
        <w:tc>
          <w:tcPr>
            <w:tcW w:w="1350" w:type="dxa"/>
            <w:vMerge w:val="continue"/>
            <w:vAlign w:val="center"/>
          </w:tcPr>
          <w:p>
            <w:pPr>
              <w:jc w:val="center"/>
              <w:rPr>
                <w:rFonts w:ascii="仿宋_GB2312" w:hAnsi="仿宋_GB2312" w:eastAsia="仿宋_GB2312" w:cs="仿宋_GB2312"/>
                <w:sz w:val="24"/>
              </w:rPr>
            </w:pPr>
          </w:p>
        </w:tc>
        <w:tc>
          <w:tcPr>
            <w:tcW w:w="3069"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媒体报道次数（次）</w:t>
            </w:r>
          </w:p>
        </w:tc>
        <w:tc>
          <w:tcPr>
            <w:tcW w:w="213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20" w:type="dxa"/>
            <w:vMerge w:val="continue"/>
            <w:shd w:val="clear" w:color="auto" w:fill="DBEEF3"/>
            <w:vAlign w:val="center"/>
          </w:tcPr>
          <w:p>
            <w:pPr>
              <w:jc w:val="center"/>
              <w:rPr>
                <w:rFonts w:ascii="仿宋_GB2312" w:hAnsi="仿宋_GB2312" w:eastAsia="仿宋_GB2312" w:cs="仿宋_GB2312"/>
                <w:b/>
                <w:bCs/>
                <w:sz w:val="24"/>
              </w:rPr>
            </w:pPr>
          </w:p>
        </w:tc>
        <w:tc>
          <w:tcPr>
            <w:tcW w:w="1305" w:type="dxa"/>
            <w:vMerge w:val="continue"/>
            <w:vAlign w:val="center"/>
          </w:tcPr>
          <w:p>
            <w:pPr>
              <w:jc w:val="center"/>
              <w:rPr>
                <w:rFonts w:ascii="仿宋_GB2312" w:hAnsi="仿宋_GB2312" w:eastAsia="仿宋_GB2312" w:cs="仿宋_GB2312"/>
                <w:sz w:val="24"/>
              </w:rPr>
            </w:pPr>
          </w:p>
        </w:tc>
        <w:tc>
          <w:tcPr>
            <w:tcW w:w="1350"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可持续影响</w:t>
            </w:r>
          </w:p>
        </w:tc>
        <w:tc>
          <w:tcPr>
            <w:tcW w:w="3069"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建设项目有效性</w:t>
            </w:r>
          </w:p>
        </w:tc>
        <w:tc>
          <w:tcPr>
            <w:tcW w:w="2130"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长期有效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20" w:type="dxa"/>
            <w:vMerge w:val="continue"/>
            <w:shd w:val="clear" w:color="auto" w:fill="DBEEF3"/>
            <w:vAlign w:val="center"/>
          </w:tcPr>
          <w:p>
            <w:pPr>
              <w:jc w:val="center"/>
              <w:rPr>
                <w:rFonts w:ascii="仿宋_GB2312" w:hAnsi="仿宋_GB2312" w:eastAsia="仿宋_GB2312" w:cs="仿宋_GB2312"/>
                <w:b/>
                <w:bCs/>
                <w:sz w:val="24"/>
              </w:rPr>
            </w:pPr>
          </w:p>
        </w:tc>
        <w:tc>
          <w:tcPr>
            <w:tcW w:w="1305" w:type="dxa"/>
            <w:vMerge w:val="continue"/>
            <w:vAlign w:val="center"/>
          </w:tcPr>
          <w:p>
            <w:pPr>
              <w:jc w:val="center"/>
              <w:rPr>
                <w:rFonts w:ascii="仿宋_GB2312" w:hAnsi="仿宋_GB2312" w:eastAsia="仿宋_GB2312" w:cs="仿宋_GB2312"/>
                <w:sz w:val="24"/>
              </w:rPr>
            </w:pPr>
          </w:p>
        </w:tc>
        <w:tc>
          <w:tcPr>
            <w:tcW w:w="1350" w:type="dxa"/>
            <w:vMerge w:val="restar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服务对象满意度</w:t>
            </w:r>
          </w:p>
        </w:tc>
        <w:tc>
          <w:tcPr>
            <w:tcW w:w="3069"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运动员满意度（%）</w:t>
            </w:r>
          </w:p>
        </w:tc>
        <w:tc>
          <w:tcPr>
            <w:tcW w:w="213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20" w:type="dxa"/>
            <w:vMerge w:val="continue"/>
            <w:shd w:val="clear" w:color="auto" w:fill="DBEEF3"/>
            <w:vAlign w:val="center"/>
          </w:tcPr>
          <w:p>
            <w:pPr>
              <w:jc w:val="center"/>
              <w:rPr>
                <w:rFonts w:ascii="仿宋_GB2312" w:hAnsi="仿宋_GB2312" w:eastAsia="仿宋_GB2312" w:cs="仿宋_GB2312"/>
                <w:b/>
                <w:bCs/>
                <w:sz w:val="24"/>
              </w:rPr>
            </w:pPr>
          </w:p>
        </w:tc>
        <w:tc>
          <w:tcPr>
            <w:tcW w:w="1305" w:type="dxa"/>
            <w:vMerge w:val="continue"/>
            <w:vAlign w:val="center"/>
          </w:tcPr>
          <w:p>
            <w:pPr>
              <w:jc w:val="center"/>
              <w:rPr>
                <w:rFonts w:ascii="仿宋_GB2312" w:hAnsi="仿宋_GB2312" w:eastAsia="仿宋_GB2312" w:cs="仿宋_GB2312"/>
                <w:sz w:val="24"/>
              </w:rPr>
            </w:pPr>
          </w:p>
        </w:tc>
        <w:tc>
          <w:tcPr>
            <w:tcW w:w="1350" w:type="dxa"/>
            <w:vMerge w:val="continue"/>
            <w:vAlign w:val="center"/>
          </w:tcPr>
          <w:p>
            <w:pPr>
              <w:jc w:val="center"/>
              <w:rPr>
                <w:rFonts w:ascii="仿宋_GB2312" w:hAnsi="仿宋_GB2312" w:eastAsia="仿宋_GB2312" w:cs="仿宋_GB2312"/>
                <w:sz w:val="24"/>
              </w:rPr>
            </w:pPr>
          </w:p>
        </w:tc>
        <w:tc>
          <w:tcPr>
            <w:tcW w:w="3069"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服务对象满意度（%）</w:t>
            </w:r>
          </w:p>
        </w:tc>
        <w:tc>
          <w:tcPr>
            <w:tcW w:w="2130"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85</w:t>
            </w:r>
          </w:p>
        </w:tc>
      </w:tr>
    </w:tbl>
    <w:p>
      <w:pPr>
        <w:spacing w:before="156" w:beforeLines="50" w:line="360" w:lineRule="auto"/>
        <w:jc w:val="center"/>
        <w:rPr>
          <w:rFonts w:ascii="黑体" w:hAnsi="黑体" w:eastAsia="黑体" w:cs="黑体"/>
          <w:sz w:val="28"/>
          <w:szCs w:val="28"/>
        </w:rPr>
      </w:pPr>
      <w:r>
        <w:rPr>
          <w:rFonts w:hint="eastAsia" w:ascii="黑体" w:hAnsi="黑体" w:eastAsia="黑体" w:cs="黑体"/>
          <w:sz w:val="28"/>
          <w:szCs w:val="28"/>
        </w:rPr>
        <w:t>表1-4 竞技体育项目（运动队保障）绩效目标表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2"/>
        <w:gridCol w:w="1298"/>
        <w:gridCol w:w="1223"/>
        <w:gridCol w:w="3135"/>
        <w:gridCol w:w="2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14" w:hRule="atLeast"/>
          <w:jc w:val="center"/>
        </w:trPr>
        <w:tc>
          <w:tcPr>
            <w:tcW w:w="1342" w:type="dxa"/>
            <w:shd w:val="clear" w:color="auto" w:fill="DBEEF3"/>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绩效目标</w:t>
            </w:r>
          </w:p>
        </w:tc>
        <w:tc>
          <w:tcPr>
            <w:tcW w:w="7832" w:type="dxa"/>
            <w:gridSpan w:val="4"/>
            <w:vAlign w:val="center"/>
          </w:tcPr>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1.培训退役运动员，提高专业水平和就业能力。</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2.开展二沙中心宿舍和室外管网等配套工程，推进田径场、网球场建设，完善基础设施。</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3.完成黄村体育训练中心教学楼、食堂、宿舍维修，重竞技馆副馆项目结算。</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4.船艇中心黄塘激流回旋项目竣工。</w:t>
            </w:r>
          </w:p>
          <w:p>
            <w:pPr>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5.完成各基地零星小额维修项目，改善运动队训练和生活条件。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42" w:type="dxa"/>
            <w:vMerge w:val="restart"/>
            <w:shd w:val="clear" w:color="auto" w:fill="DBEEF3"/>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绩效指标</w:t>
            </w:r>
          </w:p>
        </w:tc>
        <w:tc>
          <w:tcPr>
            <w:tcW w:w="1298"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一级指标</w:t>
            </w:r>
          </w:p>
        </w:tc>
        <w:tc>
          <w:tcPr>
            <w:tcW w:w="1223"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二级指标</w:t>
            </w:r>
          </w:p>
        </w:tc>
        <w:tc>
          <w:tcPr>
            <w:tcW w:w="3135"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三级指标</w:t>
            </w:r>
          </w:p>
        </w:tc>
        <w:tc>
          <w:tcPr>
            <w:tcW w:w="2176"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年度目标值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42" w:type="dxa"/>
            <w:vMerge w:val="continue"/>
            <w:shd w:val="clear" w:color="auto" w:fill="DBEEF3"/>
            <w:vAlign w:val="center"/>
          </w:tcPr>
          <w:p>
            <w:pPr>
              <w:jc w:val="center"/>
              <w:rPr>
                <w:rFonts w:ascii="仿宋_GB2312" w:hAnsi="仿宋_GB2312" w:eastAsia="仿宋_GB2312" w:cs="仿宋_GB2312"/>
                <w:b/>
                <w:bCs/>
                <w:sz w:val="24"/>
              </w:rPr>
            </w:pPr>
          </w:p>
        </w:tc>
        <w:tc>
          <w:tcPr>
            <w:tcW w:w="1298" w:type="dxa"/>
            <w:vMerge w:val="restar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产出指标</w:t>
            </w:r>
          </w:p>
        </w:tc>
        <w:tc>
          <w:tcPr>
            <w:tcW w:w="1223" w:type="dxa"/>
            <w:vMerge w:val="restar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数量指标</w:t>
            </w:r>
          </w:p>
        </w:tc>
        <w:tc>
          <w:tcPr>
            <w:tcW w:w="3135"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完成工程结算项目数量（个）</w:t>
            </w:r>
          </w:p>
        </w:tc>
        <w:tc>
          <w:tcPr>
            <w:tcW w:w="2176"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42" w:type="dxa"/>
            <w:vMerge w:val="continue"/>
            <w:shd w:val="clear" w:color="auto" w:fill="DBEEF3"/>
            <w:vAlign w:val="center"/>
          </w:tcPr>
          <w:p>
            <w:pPr>
              <w:jc w:val="center"/>
              <w:rPr>
                <w:rFonts w:ascii="仿宋_GB2312" w:hAnsi="仿宋_GB2312" w:eastAsia="仿宋_GB2312" w:cs="仿宋_GB2312"/>
                <w:b/>
                <w:bCs/>
                <w:sz w:val="24"/>
              </w:rPr>
            </w:pPr>
          </w:p>
        </w:tc>
        <w:tc>
          <w:tcPr>
            <w:tcW w:w="1298" w:type="dxa"/>
            <w:vMerge w:val="continue"/>
            <w:vAlign w:val="center"/>
          </w:tcPr>
          <w:p>
            <w:pPr>
              <w:jc w:val="center"/>
              <w:rPr>
                <w:rFonts w:ascii="仿宋_GB2312" w:hAnsi="仿宋_GB2312" w:eastAsia="仿宋_GB2312" w:cs="仿宋_GB2312"/>
                <w:sz w:val="24"/>
              </w:rPr>
            </w:pPr>
          </w:p>
        </w:tc>
        <w:tc>
          <w:tcPr>
            <w:tcW w:w="1223" w:type="dxa"/>
            <w:vMerge w:val="continue"/>
            <w:vAlign w:val="center"/>
          </w:tcPr>
          <w:p>
            <w:pPr>
              <w:jc w:val="center"/>
              <w:rPr>
                <w:rFonts w:ascii="仿宋_GB2312" w:hAnsi="仿宋_GB2312" w:eastAsia="仿宋_GB2312" w:cs="仿宋_GB2312"/>
                <w:sz w:val="24"/>
              </w:rPr>
            </w:pPr>
          </w:p>
        </w:tc>
        <w:tc>
          <w:tcPr>
            <w:tcW w:w="3135"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完成工程结算定案项目数量（个）</w:t>
            </w:r>
          </w:p>
        </w:tc>
        <w:tc>
          <w:tcPr>
            <w:tcW w:w="2176"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42" w:type="dxa"/>
            <w:vMerge w:val="continue"/>
            <w:shd w:val="clear" w:color="auto" w:fill="DBEEF3"/>
            <w:vAlign w:val="center"/>
          </w:tcPr>
          <w:p>
            <w:pPr>
              <w:jc w:val="center"/>
              <w:rPr>
                <w:rFonts w:ascii="仿宋_GB2312" w:hAnsi="仿宋_GB2312" w:eastAsia="仿宋_GB2312" w:cs="仿宋_GB2312"/>
                <w:b/>
                <w:bCs/>
                <w:sz w:val="24"/>
              </w:rPr>
            </w:pPr>
          </w:p>
        </w:tc>
        <w:tc>
          <w:tcPr>
            <w:tcW w:w="1298" w:type="dxa"/>
            <w:vMerge w:val="continue"/>
            <w:vAlign w:val="center"/>
          </w:tcPr>
          <w:p>
            <w:pPr>
              <w:jc w:val="center"/>
              <w:rPr>
                <w:rFonts w:ascii="仿宋_GB2312" w:hAnsi="仿宋_GB2312" w:eastAsia="仿宋_GB2312" w:cs="仿宋_GB2312"/>
                <w:sz w:val="24"/>
              </w:rPr>
            </w:pPr>
          </w:p>
        </w:tc>
        <w:tc>
          <w:tcPr>
            <w:tcW w:w="1223" w:type="dxa"/>
            <w:vMerge w:val="continue"/>
            <w:vAlign w:val="center"/>
          </w:tcPr>
          <w:p>
            <w:pPr>
              <w:jc w:val="center"/>
              <w:rPr>
                <w:rFonts w:ascii="仿宋_GB2312" w:hAnsi="仿宋_GB2312" w:eastAsia="仿宋_GB2312" w:cs="仿宋_GB2312"/>
                <w:sz w:val="24"/>
              </w:rPr>
            </w:pPr>
          </w:p>
        </w:tc>
        <w:tc>
          <w:tcPr>
            <w:tcW w:w="3135"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退役运动员培训次数（次）</w:t>
            </w:r>
          </w:p>
        </w:tc>
        <w:tc>
          <w:tcPr>
            <w:tcW w:w="2176"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42" w:type="dxa"/>
            <w:vMerge w:val="continue"/>
            <w:shd w:val="clear" w:color="auto" w:fill="DBEEF3"/>
            <w:vAlign w:val="center"/>
          </w:tcPr>
          <w:p>
            <w:pPr>
              <w:jc w:val="center"/>
              <w:rPr>
                <w:rFonts w:ascii="仿宋_GB2312" w:hAnsi="仿宋_GB2312" w:eastAsia="仿宋_GB2312" w:cs="仿宋_GB2312"/>
                <w:b/>
                <w:bCs/>
                <w:sz w:val="24"/>
              </w:rPr>
            </w:pPr>
          </w:p>
        </w:tc>
        <w:tc>
          <w:tcPr>
            <w:tcW w:w="1298" w:type="dxa"/>
            <w:vMerge w:val="continue"/>
            <w:vAlign w:val="center"/>
          </w:tcPr>
          <w:p>
            <w:pPr>
              <w:jc w:val="center"/>
              <w:rPr>
                <w:rFonts w:ascii="仿宋_GB2312" w:hAnsi="仿宋_GB2312" w:eastAsia="仿宋_GB2312" w:cs="仿宋_GB2312"/>
                <w:sz w:val="24"/>
              </w:rPr>
            </w:pPr>
          </w:p>
        </w:tc>
        <w:tc>
          <w:tcPr>
            <w:tcW w:w="1223" w:type="dxa"/>
            <w:vMerge w:val="continue"/>
            <w:vAlign w:val="center"/>
          </w:tcPr>
          <w:p>
            <w:pPr>
              <w:jc w:val="center"/>
              <w:rPr>
                <w:rFonts w:ascii="仿宋_GB2312" w:hAnsi="仿宋_GB2312" w:eastAsia="仿宋_GB2312" w:cs="仿宋_GB2312"/>
                <w:sz w:val="24"/>
              </w:rPr>
            </w:pPr>
          </w:p>
        </w:tc>
        <w:tc>
          <w:tcPr>
            <w:tcW w:w="3135"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完成各基地运动队改善设施条件的修改维修项目数量（个）</w:t>
            </w:r>
          </w:p>
        </w:tc>
        <w:tc>
          <w:tcPr>
            <w:tcW w:w="2176"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42" w:type="dxa"/>
            <w:vMerge w:val="continue"/>
            <w:shd w:val="clear" w:color="auto" w:fill="DBEEF3"/>
            <w:vAlign w:val="center"/>
          </w:tcPr>
          <w:p>
            <w:pPr>
              <w:jc w:val="center"/>
              <w:rPr>
                <w:rFonts w:ascii="仿宋_GB2312" w:hAnsi="仿宋_GB2312" w:eastAsia="仿宋_GB2312" w:cs="仿宋_GB2312"/>
                <w:b/>
                <w:bCs/>
                <w:sz w:val="24"/>
              </w:rPr>
            </w:pPr>
          </w:p>
        </w:tc>
        <w:tc>
          <w:tcPr>
            <w:tcW w:w="1298" w:type="dxa"/>
            <w:vMerge w:val="continue"/>
            <w:vAlign w:val="center"/>
          </w:tcPr>
          <w:p>
            <w:pPr>
              <w:jc w:val="center"/>
              <w:rPr>
                <w:rFonts w:ascii="仿宋_GB2312" w:hAnsi="仿宋_GB2312" w:eastAsia="仿宋_GB2312" w:cs="仿宋_GB2312"/>
                <w:sz w:val="24"/>
              </w:rPr>
            </w:pPr>
          </w:p>
        </w:tc>
        <w:tc>
          <w:tcPr>
            <w:tcW w:w="1223" w:type="dxa"/>
            <w:vMerge w:val="continue"/>
            <w:vAlign w:val="center"/>
          </w:tcPr>
          <w:p>
            <w:pPr>
              <w:jc w:val="center"/>
              <w:rPr>
                <w:rFonts w:ascii="仿宋_GB2312" w:hAnsi="仿宋_GB2312" w:eastAsia="仿宋_GB2312" w:cs="仿宋_GB2312"/>
                <w:sz w:val="24"/>
              </w:rPr>
            </w:pPr>
          </w:p>
        </w:tc>
        <w:tc>
          <w:tcPr>
            <w:tcW w:w="3135"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开工建设项目数量（个）</w:t>
            </w:r>
          </w:p>
        </w:tc>
        <w:tc>
          <w:tcPr>
            <w:tcW w:w="2176"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42" w:type="dxa"/>
            <w:vMerge w:val="continue"/>
            <w:shd w:val="clear" w:color="auto" w:fill="DBEEF3"/>
            <w:vAlign w:val="center"/>
          </w:tcPr>
          <w:p>
            <w:pPr>
              <w:jc w:val="center"/>
              <w:rPr>
                <w:rFonts w:ascii="仿宋_GB2312" w:hAnsi="仿宋_GB2312" w:eastAsia="仿宋_GB2312" w:cs="仿宋_GB2312"/>
                <w:b/>
                <w:bCs/>
                <w:sz w:val="24"/>
              </w:rPr>
            </w:pPr>
          </w:p>
        </w:tc>
        <w:tc>
          <w:tcPr>
            <w:tcW w:w="1298" w:type="dxa"/>
            <w:vMerge w:val="continue"/>
            <w:vAlign w:val="center"/>
          </w:tcPr>
          <w:p>
            <w:pPr>
              <w:jc w:val="center"/>
              <w:rPr>
                <w:rFonts w:ascii="仿宋_GB2312" w:hAnsi="仿宋_GB2312" w:eastAsia="仿宋_GB2312" w:cs="仿宋_GB2312"/>
                <w:sz w:val="24"/>
              </w:rPr>
            </w:pPr>
          </w:p>
        </w:tc>
        <w:tc>
          <w:tcPr>
            <w:tcW w:w="1223" w:type="dxa"/>
            <w:vMerge w:val="continue"/>
            <w:vAlign w:val="center"/>
          </w:tcPr>
          <w:p>
            <w:pPr>
              <w:jc w:val="center"/>
              <w:rPr>
                <w:rFonts w:ascii="仿宋_GB2312" w:hAnsi="仿宋_GB2312" w:eastAsia="仿宋_GB2312" w:cs="仿宋_GB2312"/>
                <w:sz w:val="24"/>
              </w:rPr>
            </w:pPr>
          </w:p>
        </w:tc>
        <w:tc>
          <w:tcPr>
            <w:tcW w:w="3135"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举办培训班次数</w:t>
            </w:r>
          </w:p>
        </w:tc>
        <w:tc>
          <w:tcPr>
            <w:tcW w:w="2176"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42" w:type="dxa"/>
            <w:vMerge w:val="continue"/>
            <w:shd w:val="clear" w:color="auto" w:fill="DBEEF3"/>
            <w:vAlign w:val="center"/>
          </w:tcPr>
          <w:p>
            <w:pPr>
              <w:jc w:val="center"/>
              <w:rPr>
                <w:rFonts w:ascii="仿宋_GB2312" w:hAnsi="仿宋_GB2312" w:eastAsia="仿宋_GB2312" w:cs="仿宋_GB2312"/>
                <w:b/>
                <w:bCs/>
                <w:sz w:val="24"/>
              </w:rPr>
            </w:pPr>
          </w:p>
        </w:tc>
        <w:tc>
          <w:tcPr>
            <w:tcW w:w="1298" w:type="dxa"/>
            <w:vMerge w:val="continue"/>
            <w:vAlign w:val="center"/>
          </w:tcPr>
          <w:p>
            <w:pPr>
              <w:jc w:val="center"/>
              <w:rPr>
                <w:rFonts w:ascii="仿宋_GB2312" w:hAnsi="仿宋_GB2312" w:eastAsia="仿宋_GB2312" w:cs="仿宋_GB2312"/>
                <w:sz w:val="24"/>
              </w:rPr>
            </w:pPr>
          </w:p>
        </w:tc>
        <w:tc>
          <w:tcPr>
            <w:tcW w:w="1223" w:type="dxa"/>
            <w:vMerge w:val="continue"/>
            <w:vAlign w:val="center"/>
          </w:tcPr>
          <w:p>
            <w:pPr>
              <w:jc w:val="center"/>
              <w:rPr>
                <w:rFonts w:ascii="仿宋_GB2312" w:hAnsi="仿宋_GB2312" w:eastAsia="仿宋_GB2312" w:cs="仿宋_GB2312"/>
                <w:sz w:val="24"/>
              </w:rPr>
            </w:pPr>
          </w:p>
        </w:tc>
        <w:tc>
          <w:tcPr>
            <w:tcW w:w="3135"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建设面积（平方米）</w:t>
            </w:r>
          </w:p>
        </w:tc>
        <w:tc>
          <w:tcPr>
            <w:tcW w:w="2176"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田径场：二沙中心16438平方米（西1场7886平方米，东2场8552平方米）。室外网球场：二沙中心6880平方米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42" w:type="dxa"/>
            <w:vMerge w:val="continue"/>
            <w:shd w:val="clear" w:color="auto" w:fill="DBEEF3"/>
            <w:vAlign w:val="center"/>
          </w:tcPr>
          <w:p>
            <w:pPr>
              <w:jc w:val="center"/>
              <w:rPr>
                <w:rFonts w:ascii="仿宋_GB2312" w:hAnsi="仿宋_GB2312" w:eastAsia="仿宋_GB2312" w:cs="仿宋_GB2312"/>
                <w:b/>
                <w:bCs/>
                <w:sz w:val="24"/>
              </w:rPr>
            </w:pPr>
          </w:p>
        </w:tc>
        <w:tc>
          <w:tcPr>
            <w:tcW w:w="1298" w:type="dxa"/>
            <w:vMerge w:val="continue"/>
            <w:vAlign w:val="center"/>
          </w:tcPr>
          <w:p>
            <w:pPr>
              <w:jc w:val="center"/>
              <w:rPr>
                <w:rFonts w:ascii="仿宋_GB2312" w:hAnsi="仿宋_GB2312" w:eastAsia="仿宋_GB2312" w:cs="仿宋_GB2312"/>
                <w:sz w:val="24"/>
              </w:rPr>
            </w:pPr>
          </w:p>
        </w:tc>
        <w:tc>
          <w:tcPr>
            <w:tcW w:w="1223" w:type="dxa"/>
            <w:vMerge w:val="continue"/>
            <w:vAlign w:val="center"/>
          </w:tcPr>
          <w:p>
            <w:pPr>
              <w:jc w:val="center"/>
              <w:rPr>
                <w:rFonts w:ascii="仿宋_GB2312" w:hAnsi="仿宋_GB2312" w:eastAsia="仿宋_GB2312" w:cs="仿宋_GB2312"/>
                <w:sz w:val="24"/>
              </w:rPr>
            </w:pPr>
          </w:p>
        </w:tc>
        <w:tc>
          <w:tcPr>
            <w:tcW w:w="3135"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完成项目实体移交数量（个）</w:t>
            </w:r>
          </w:p>
        </w:tc>
        <w:tc>
          <w:tcPr>
            <w:tcW w:w="2176"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42" w:type="dxa"/>
            <w:vMerge w:val="continue"/>
            <w:shd w:val="clear" w:color="auto" w:fill="DBEEF3"/>
            <w:vAlign w:val="center"/>
          </w:tcPr>
          <w:p>
            <w:pPr>
              <w:jc w:val="center"/>
              <w:rPr>
                <w:rFonts w:ascii="仿宋_GB2312" w:hAnsi="仿宋_GB2312" w:eastAsia="仿宋_GB2312" w:cs="仿宋_GB2312"/>
                <w:b/>
                <w:bCs/>
                <w:sz w:val="24"/>
              </w:rPr>
            </w:pPr>
          </w:p>
        </w:tc>
        <w:tc>
          <w:tcPr>
            <w:tcW w:w="1298" w:type="dxa"/>
            <w:vMerge w:val="continue"/>
            <w:vAlign w:val="center"/>
          </w:tcPr>
          <w:p>
            <w:pPr>
              <w:jc w:val="center"/>
              <w:rPr>
                <w:rFonts w:ascii="仿宋_GB2312" w:hAnsi="仿宋_GB2312" w:eastAsia="仿宋_GB2312" w:cs="仿宋_GB2312"/>
                <w:sz w:val="24"/>
              </w:rPr>
            </w:pPr>
          </w:p>
        </w:tc>
        <w:tc>
          <w:tcPr>
            <w:tcW w:w="1223"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质量指标</w:t>
            </w:r>
          </w:p>
        </w:tc>
        <w:tc>
          <w:tcPr>
            <w:tcW w:w="3135"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工程质量验收</w:t>
            </w:r>
          </w:p>
        </w:tc>
        <w:tc>
          <w:tcPr>
            <w:tcW w:w="2176"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42" w:type="dxa"/>
            <w:vMerge w:val="continue"/>
            <w:shd w:val="clear" w:color="auto" w:fill="DBEEF3"/>
            <w:vAlign w:val="center"/>
          </w:tcPr>
          <w:p>
            <w:pPr>
              <w:jc w:val="center"/>
              <w:rPr>
                <w:rFonts w:ascii="仿宋_GB2312" w:hAnsi="仿宋_GB2312" w:eastAsia="仿宋_GB2312" w:cs="仿宋_GB2312"/>
                <w:b/>
                <w:bCs/>
                <w:sz w:val="24"/>
              </w:rPr>
            </w:pPr>
          </w:p>
        </w:tc>
        <w:tc>
          <w:tcPr>
            <w:tcW w:w="1298" w:type="dxa"/>
            <w:vMerge w:val="continue"/>
            <w:vAlign w:val="center"/>
          </w:tcPr>
          <w:p>
            <w:pPr>
              <w:jc w:val="center"/>
              <w:rPr>
                <w:rFonts w:ascii="仿宋_GB2312" w:hAnsi="仿宋_GB2312" w:eastAsia="仿宋_GB2312" w:cs="仿宋_GB2312"/>
                <w:sz w:val="24"/>
              </w:rPr>
            </w:pPr>
          </w:p>
        </w:tc>
        <w:tc>
          <w:tcPr>
            <w:tcW w:w="1223"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时效指标</w:t>
            </w:r>
          </w:p>
        </w:tc>
        <w:tc>
          <w:tcPr>
            <w:tcW w:w="3135"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投入使用时间</w:t>
            </w:r>
          </w:p>
        </w:tc>
        <w:tc>
          <w:tcPr>
            <w:tcW w:w="2176"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项目实施进度按《省体育局年度基建工作计划》进行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42" w:type="dxa"/>
            <w:vMerge w:val="continue"/>
            <w:shd w:val="clear" w:color="auto" w:fill="DBEEF3"/>
            <w:vAlign w:val="center"/>
          </w:tcPr>
          <w:p>
            <w:pPr>
              <w:jc w:val="center"/>
              <w:rPr>
                <w:rFonts w:ascii="仿宋_GB2312" w:hAnsi="仿宋_GB2312" w:eastAsia="仿宋_GB2312" w:cs="仿宋_GB2312"/>
                <w:b/>
                <w:bCs/>
                <w:sz w:val="24"/>
              </w:rPr>
            </w:pPr>
          </w:p>
        </w:tc>
        <w:tc>
          <w:tcPr>
            <w:tcW w:w="1298" w:type="dxa"/>
            <w:vMerge w:val="continue"/>
            <w:vAlign w:val="center"/>
          </w:tcPr>
          <w:p>
            <w:pPr>
              <w:jc w:val="center"/>
              <w:rPr>
                <w:rFonts w:ascii="仿宋_GB2312" w:hAnsi="仿宋_GB2312" w:eastAsia="仿宋_GB2312" w:cs="仿宋_GB2312"/>
                <w:sz w:val="24"/>
              </w:rPr>
            </w:pPr>
          </w:p>
        </w:tc>
        <w:tc>
          <w:tcPr>
            <w:tcW w:w="1223"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成本指标</w:t>
            </w:r>
          </w:p>
        </w:tc>
        <w:tc>
          <w:tcPr>
            <w:tcW w:w="3135"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项目结算金额</w:t>
            </w:r>
          </w:p>
        </w:tc>
        <w:tc>
          <w:tcPr>
            <w:tcW w:w="2176"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符合《广东省财政厅关于基本建设财务管理的实施办法》规定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42" w:type="dxa"/>
            <w:vMerge w:val="continue"/>
            <w:shd w:val="clear" w:color="auto" w:fill="DBEEF3"/>
            <w:vAlign w:val="center"/>
          </w:tcPr>
          <w:p>
            <w:pPr>
              <w:jc w:val="center"/>
              <w:rPr>
                <w:rFonts w:ascii="仿宋_GB2312" w:hAnsi="仿宋_GB2312" w:eastAsia="仿宋_GB2312" w:cs="仿宋_GB2312"/>
                <w:b/>
                <w:bCs/>
                <w:sz w:val="24"/>
              </w:rPr>
            </w:pPr>
          </w:p>
        </w:tc>
        <w:tc>
          <w:tcPr>
            <w:tcW w:w="1298" w:type="dxa"/>
            <w:vMerge w:val="restar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效益指标</w:t>
            </w:r>
          </w:p>
        </w:tc>
        <w:tc>
          <w:tcPr>
            <w:tcW w:w="1223" w:type="dxa"/>
            <w:vMerge w:val="restar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社会效益</w:t>
            </w:r>
          </w:p>
        </w:tc>
        <w:tc>
          <w:tcPr>
            <w:tcW w:w="3135"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运动员自主择业率（%）</w:t>
            </w:r>
          </w:p>
        </w:tc>
        <w:tc>
          <w:tcPr>
            <w:tcW w:w="2176"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42" w:type="dxa"/>
            <w:vMerge w:val="continue"/>
            <w:shd w:val="clear" w:color="auto" w:fill="DBEEF3"/>
            <w:vAlign w:val="center"/>
          </w:tcPr>
          <w:p>
            <w:pPr>
              <w:jc w:val="center"/>
              <w:rPr>
                <w:rFonts w:ascii="仿宋_GB2312" w:hAnsi="仿宋_GB2312" w:eastAsia="仿宋_GB2312" w:cs="仿宋_GB2312"/>
                <w:b/>
                <w:bCs/>
                <w:sz w:val="24"/>
              </w:rPr>
            </w:pPr>
          </w:p>
        </w:tc>
        <w:tc>
          <w:tcPr>
            <w:tcW w:w="1298" w:type="dxa"/>
            <w:vMerge w:val="continue"/>
            <w:vAlign w:val="center"/>
          </w:tcPr>
          <w:p>
            <w:pPr>
              <w:jc w:val="center"/>
              <w:rPr>
                <w:rFonts w:ascii="仿宋_GB2312" w:hAnsi="仿宋_GB2312" w:eastAsia="仿宋_GB2312" w:cs="仿宋_GB2312"/>
                <w:sz w:val="24"/>
              </w:rPr>
            </w:pPr>
          </w:p>
        </w:tc>
        <w:tc>
          <w:tcPr>
            <w:tcW w:w="1223" w:type="dxa"/>
            <w:vMerge w:val="continue"/>
            <w:vAlign w:val="center"/>
          </w:tcPr>
          <w:p>
            <w:pPr>
              <w:jc w:val="center"/>
              <w:rPr>
                <w:rFonts w:ascii="仿宋_GB2312" w:hAnsi="仿宋_GB2312" w:eastAsia="仿宋_GB2312" w:cs="仿宋_GB2312"/>
                <w:sz w:val="24"/>
              </w:rPr>
            </w:pPr>
          </w:p>
        </w:tc>
        <w:tc>
          <w:tcPr>
            <w:tcW w:w="3135"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运动队生活、训练条件</w:t>
            </w:r>
          </w:p>
        </w:tc>
        <w:tc>
          <w:tcPr>
            <w:tcW w:w="2176"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有效改善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42" w:type="dxa"/>
            <w:vMerge w:val="continue"/>
            <w:shd w:val="clear" w:color="auto" w:fill="DBEEF3"/>
            <w:vAlign w:val="center"/>
          </w:tcPr>
          <w:p>
            <w:pPr>
              <w:jc w:val="center"/>
              <w:rPr>
                <w:rFonts w:ascii="仿宋_GB2312" w:hAnsi="仿宋_GB2312" w:eastAsia="仿宋_GB2312" w:cs="仿宋_GB2312"/>
                <w:b/>
                <w:bCs/>
                <w:sz w:val="24"/>
              </w:rPr>
            </w:pPr>
          </w:p>
        </w:tc>
        <w:tc>
          <w:tcPr>
            <w:tcW w:w="1298" w:type="dxa"/>
            <w:vMerge w:val="continue"/>
            <w:vAlign w:val="center"/>
          </w:tcPr>
          <w:p>
            <w:pPr>
              <w:jc w:val="center"/>
              <w:rPr>
                <w:rFonts w:ascii="仿宋_GB2312" w:hAnsi="仿宋_GB2312" w:eastAsia="仿宋_GB2312" w:cs="仿宋_GB2312"/>
                <w:sz w:val="24"/>
              </w:rPr>
            </w:pPr>
          </w:p>
        </w:tc>
        <w:tc>
          <w:tcPr>
            <w:tcW w:w="1223" w:type="dxa"/>
            <w:vMerge w:val="restar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服务对象满意度</w:t>
            </w:r>
          </w:p>
        </w:tc>
        <w:tc>
          <w:tcPr>
            <w:tcW w:w="3135"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受训运动员满意度（%）</w:t>
            </w:r>
          </w:p>
        </w:tc>
        <w:tc>
          <w:tcPr>
            <w:tcW w:w="2176"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342" w:type="dxa"/>
            <w:vMerge w:val="continue"/>
            <w:shd w:val="clear" w:color="auto" w:fill="DBEEF3"/>
            <w:vAlign w:val="center"/>
          </w:tcPr>
          <w:p>
            <w:pPr>
              <w:jc w:val="center"/>
              <w:rPr>
                <w:rFonts w:ascii="仿宋_GB2312" w:hAnsi="仿宋_GB2312" w:eastAsia="仿宋_GB2312" w:cs="仿宋_GB2312"/>
                <w:b/>
                <w:bCs/>
                <w:sz w:val="24"/>
              </w:rPr>
            </w:pPr>
          </w:p>
        </w:tc>
        <w:tc>
          <w:tcPr>
            <w:tcW w:w="1298" w:type="dxa"/>
            <w:vMerge w:val="continue"/>
            <w:vAlign w:val="center"/>
          </w:tcPr>
          <w:p>
            <w:pPr>
              <w:jc w:val="center"/>
              <w:rPr>
                <w:rFonts w:ascii="仿宋_GB2312" w:hAnsi="仿宋_GB2312" w:eastAsia="仿宋_GB2312" w:cs="仿宋_GB2312"/>
                <w:sz w:val="24"/>
              </w:rPr>
            </w:pPr>
          </w:p>
        </w:tc>
        <w:tc>
          <w:tcPr>
            <w:tcW w:w="1223" w:type="dxa"/>
            <w:vMerge w:val="continue"/>
            <w:vAlign w:val="center"/>
          </w:tcPr>
          <w:p>
            <w:pPr>
              <w:jc w:val="center"/>
              <w:rPr>
                <w:rFonts w:ascii="仿宋_GB2312" w:hAnsi="仿宋_GB2312" w:eastAsia="仿宋_GB2312" w:cs="仿宋_GB2312"/>
                <w:sz w:val="24"/>
              </w:rPr>
            </w:pPr>
          </w:p>
        </w:tc>
        <w:tc>
          <w:tcPr>
            <w:tcW w:w="3135"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4"/>
              </w:rPr>
              <w:t>退役运动员满意度（%）</w:t>
            </w:r>
          </w:p>
        </w:tc>
        <w:tc>
          <w:tcPr>
            <w:tcW w:w="2176"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≥90</w:t>
            </w:r>
          </w:p>
        </w:tc>
      </w:tr>
    </w:tbl>
    <w:p>
      <w:pPr>
        <w:snapToGrid/>
        <w:spacing w:before="156" w:beforeLines="50" w:line="360" w:lineRule="auto"/>
        <w:ind w:firstLine="640" w:firstLineChars="200"/>
        <w:outlineLvl w:val="0"/>
        <w:rPr>
          <w:rFonts w:ascii="黑体" w:eastAsia="黑体"/>
          <w:sz w:val="32"/>
          <w:szCs w:val="32"/>
        </w:rPr>
      </w:pPr>
      <w:r>
        <w:rPr>
          <w:rFonts w:hint="eastAsia" w:ascii="黑体" w:eastAsia="黑体"/>
          <w:sz w:val="32"/>
          <w:szCs w:val="32"/>
        </w:rPr>
        <w:t>二、自评情况</w:t>
      </w:r>
    </w:p>
    <w:p>
      <w:pPr>
        <w:snapToGrid/>
        <w:spacing w:line="360" w:lineRule="auto"/>
        <w:ind w:firstLine="642" w:firstLineChars="200"/>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（一）自评结论</w:t>
      </w:r>
    </w:p>
    <w:p>
      <w:pPr>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根据《广东省财政厅关于开展2024年省级财政资金绩效自评工作的通知》的要求，竞技体育项目根据项目绩效自评信息指标评分表的具体标准开展自评。绩效自评从过程、产出、效益三个维度，指标自评采取定性与定量分析相结合的评价方法，按各个政策任务拨付资金额权重（备战重大体育赛事68%、资助承办竞技类体育赛事11%、运动队保障项目21%）进行综合评价。</w:t>
      </w:r>
      <w:r>
        <w:rPr>
          <w:rFonts w:hint="eastAsia" w:ascii="仿宋_GB2312" w:hAnsi="仿宋_GB2312" w:eastAsia="仿宋_GB2312" w:cs="仿宋_GB2312"/>
          <w:sz w:val="32"/>
          <w:szCs w:val="32"/>
        </w:rPr>
        <w:t>经自评，“竞技体育项目”绩效指标得分为97.</w:t>
      </w:r>
      <w:r>
        <w:rPr>
          <w:rFonts w:hint="eastAsia" w:ascii="仿宋_GB2312" w:hAnsi="仿宋_GB2312" w:eastAsia="仿宋_GB2312" w:cs="仿宋_GB2312"/>
          <w:sz w:val="32"/>
          <w:szCs w:val="32"/>
          <w:lang w:val="en-US" w:eastAsia="zh-CN"/>
        </w:rPr>
        <w:t>92</w:t>
      </w:r>
      <w:r>
        <w:rPr>
          <w:rFonts w:hint="eastAsia" w:ascii="仿宋_GB2312" w:hAnsi="仿宋_GB2312" w:eastAsia="仿宋_GB2312" w:cs="仿宋_GB2312"/>
          <w:sz w:val="32"/>
          <w:szCs w:val="32"/>
        </w:rPr>
        <w:t>分，自评等级为</w:t>
      </w:r>
      <w:r>
        <w:rPr>
          <w:rFonts w:hint="eastAsia" w:ascii="仿宋_GB2312" w:hAnsi="仿宋_GB2312" w:eastAsia="仿宋_GB2312" w:cs="仿宋_GB2312"/>
          <w:b/>
          <w:bCs/>
          <w:sz w:val="32"/>
          <w:szCs w:val="32"/>
        </w:rPr>
        <w:t>“优”</w:t>
      </w:r>
      <w:r>
        <w:rPr>
          <w:rFonts w:hint="eastAsia" w:ascii="仿宋_GB2312" w:hAnsi="仿宋_GB2312" w:eastAsia="仿宋_GB2312" w:cs="仿宋_GB2312"/>
          <w:sz w:val="32"/>
          <w:szCs w:val="32"/>
        </w:rPr>
        <w:t>。</w:t>
      </w:r>
      <w:r>
        <w:rPr>
          <w:rFonts w:hint="eastAsia" w:ascii="仿宋_GB2312" w:eastAsia="仿宋_GB2312"/>
          <w:sz w:val="32"/>
          <w:szCs w:val="32"/>
        </w:rPr>
        <w:t>该项目一级指标得分情况见表2-1所示。</w:t>
      </w:r>
    </w:p>
    <w:p>
      <w:pPr>
        <w:spacing w:line="360" w:lineRule="auto"/>
        <w:jc w:val="center"/>
        <w:rPr>
          <w:rFonts w:ascii="仿宋_GB2312" w:hAnsi="宋体" w:eastAsia="仿宋_GB2312"/>
          <w:sz w:val="32"/>
          <w:szCs w:val="32"/>
        </w:rPr>
      </w:pPr>
      <w:r>
        <w:rPr>
          <w:rFonts w:hint="eastAsia" w:ascii="黑体" w:hAnsi="黑体" w:eastAsia="黑体" w:cs="黑体"/>
          <w:sz w:val="28"/>
          <w:szCs w:val="28"/>
        </w:rPr>
        <w:t>表2-1 项目一级指标得分情况表</w:t>
      </w:r>
    </w:p>
    <w:tbl>
      <w:tblPr>
        <w:tblStyle w:val="9"/>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4"/>
        <w:gridCol w:w="946"/>
        <w:gridCol w:w="1657"/>
        <w:gridCol w:w="1781"/>
        <w:gridCol w:w="1782"/>
        <w:gridCol w:w="1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4" w:hRule="atLeast"/>
          <w:jc w:val="center"/>
        </w:trPr>
        <w:tc>
          <w:tcPr>
            <w:tcW w:w="1180" w:type="dxa"/>
            <w:shd w:val="clear" w:color="auto" w:fill="DBEEF3"/>
            <w:vAlign w:val="center"/>
          </w:tcPr>
          <w:p>
            <w:pPr>
              <w:widowControl/>
              <w:jc w:val="center"/>
              <w:rPr>
                <w:rFonts w:ascii="仿宋_GB2312" w:eastAsia="仿宋_GB2312" w:cs="宋体"/>
                <w:b/>
                <w:bCs/>
                <w:kern w:val="0"/>
                <w:sz w:val="24"/>
              </w:rPr>
            </w:pPr>
            <w:r>
              <w:rPr>
                <w:rFonts w:hint="eastAsia" w:ascii="仿宋_GB2312" w:eastAsia="仿宋_GB2312" w:cs="宋体"/>
                <w:b/>
                <w:bCs/>
                <w:kern w:val="0"/>
                <w:sz w:val="24"/>
              </w:rPr>
              <w:t>一级指标</w:t>
            </w:r>
          </w:p>
        </w:tc>
        <w:tc>
          <w:tcPr>
            <w:tcW w:w="919" w:type="dxa"/>
            <w:shd w:val="clear" w:color="auto" w:fill="DBEEF3"/>
            <w:vAlign w:val="center"/>
          </w:tcPr>
          <w:p>
            <w:pPr>
              <w:widowControl/>
              <w:jc w:val="center"/>
              <w:rPr>
                <w:rFonts w:ascii="仿宋_GB2312" w:eastAsia="仿宋_GB2312" w:cs="宋体"/>
                <w:b/>
                <w:bCs/>
                <w:kern w:val="0"/>
                <w:sz w:val="24"/>
              </w:rPr>
            </w:pPr>
            <w:r>
              <w:rPr>
                <w:rFonts w:hint="eastAsia" w:ascii="仿宋_GB2312" w:eastAsia="仿宋_GB2312" w:cs="宋体"/>
                <w:b/>
                <w:bCs/>
                <w:kern w:val="0"/>
                <w:sz w:val="24"/>
              </w:rPr>
              <w:t>分值</w:t>
            </w:r>
          </w:p>
        </w:tc>
        <w:tc>
          <w:tcPr>
            <w:tcW w:w="1611" w:type="dxa"/>
            <w:shd w:val="clear" w:color="auto" w:fill="DBEEF3"/>
            <w:vAlign w:val="center"/>
          </w:tcPr>
          <w:p>
            <w:pPr>
              <w:widowControl/>
              <w:jc w:val="center"/>
              <w:rPr>
                <w:rFonts w:ascii="仿宋_GB2312" w:eastAsia="仿宋_GB2312" w:cs="宋体"/>
                <w:b/>
                <w:bCs/>
                <w:kern w:val="0"/>
                <w:sz w:val="24"/>
              </w:rPr>
            </w:pPr>
            <w:r>
              <w:rPr>
                <w:rFonts w:hint="eastAsia" w:ascii="仿宋_GB2312" w:eastAsia="仿宋_GB2312" w:cs="宋体"/>
                <w:b/>
                <w:bCs/>
                <w:kern w:val="0"/>
                <w:sz w:val="24"/>
              </w:rPr>
              <w:t>备战重大体育赛事</w:t>
            </w:r>
          </w:p>
        </w:tc>
        <w:tc>
          <w:tcPr>
            <w:tcW w:w="1731" w:type="dxa"/>
            <w:shd w:val="clear" w:color="auto" w:fill="DBEEF3"/>
            <w:vAlign w:val="center"/>
          </w:tcPr>
          <w:p>
            <w:pPr>
              <w:widowControl/>
              <w:jc w:val="center"/>
              <w:rPr>
                <w:rFonts w:ascii="仿宋_GB2312" w:eastAsia="仿宋_GB2312" w:cs="宋体"/>
                <w:b/>
                <w:bCs/>
                <w:kern w:val="0"/>
                <w:sz w:val="24"/>
              </w:rPr>
            </w:pPr>
            <w:r>
              <w:rPr>
                <w:rFonts w:hint="eastAsia" w:ascii="仿宋_GB2312" w:eastAsia="仿宋_GB2312" w:cs="宋体"/>
                <w:b/>
                <w:bCs/>
                <w:kern w:val="0"/>
                <w:sz w:val="24"/>
              </w:rPr>
              <w:t>资助承办竞技类体育赛事</w:t>
            </w:r>
          </w:p>
        </w:tc>
        <w:tc>
          <w:tcPr>
            <w:tcW w:w="1732" w:type="dxa"/>
            <w:shd w:val="clear" w:color="auto" w:fill="DBEEF3"/>
            <w:vAlign w:val="center"/>
          </w:tcPr>
          <w:p>
            <w:pPr>
              <w:widowControl/>
              <w:jc w:val="center"/>
              <w:rPr>
                <w:rFonts w:ascii="仿宋_GB2312" w:eastAsia="仿宋_GB2312" w:cs="宋体"/>
                <w:b/>
                <w:bCs/>
                <w:kern w:val="0"/>
                <w:sz w:val="24"/>
              </w:rPr>
            </w:pPr>
            <w:r>
              <w:rPr>
                <w:rFonts w:hint="eastAsia" w:ascii="仿宋_GB2312" w:eastAsia="仿宋_GB2312" w:cs="宋体"/>
                <w:b/>
                <w:bCs/>
                <w:kern w:val="0"/>
                <w:sz w:val="24"/>
              </w:rPr>
              <w:t>运动队保障</w:t>
            </w:r>
          </w:p>
          <w:p>
            <w:pPr>
              <w:widowControl/>
              <w:jc w:val="center"/>
              <w:rPr>
                <w:rFonts w:ascii="仿宋_GB2312" w:eastAsia="仿宋_GB2312" w:cs="宋体"/>
                <w:b/>
                <w:bCs/>
                <w:kern w:val="0"/>
                <w:sz w:val="24"/>
              </w:rPr>
            </w:pPr>
            <w:r>
              <w:rPr>
                <w:rFonts w:hint="eastAsia" w:ascii="仿宋_GB2312" w:eastAsia="仿宋_GB2312" w:cs="宋体"/>
                <w:b/>
                <w:bCs/>
                <w:kern w:val="0"/>
                <w:sz w:val="24"/>
              </w:rPr>
              <w:t>项目</w:t>
            </w:r>
          </w:p>
        </w:tc>
        <w:tc>
          <w:tcPr>
            <w:tcW w:w="1423" w:type="dxa"/>
            <w:shd w:val="clear" w:color="auto" w:fill="DBEEF3"/>
            <w:vAlign w:val="center"/>
          </w:tcPr>
          <w:p>
            <w:pPr>
              <w:widowControl/>
              <w:jc w:val="center"/>
              <w:rPr>
                <w:rFonts w:ascii="仿宋_GB2312" w:eastAsia="仿宋_GB2312" w:cs="宋体"/>
                <w:b/>
                <w:bCs/>
                <w:kern w:val="0"/>
                <w:sz w:val="24"/>
              </w:rPr>
            </w:pPr>
            <w:r>
              <w:rPr>
                <w:rFonts w:hint="eastAsia" w:ascii="仿宋_GB2312" w:eastAsia="仿宋_GB2312" w:cs="宋体"/>
                <w:b/>
                <w:bCs/>
                <w:kern w:val="0"/>
                <w:sz w:val="24"/>
              </w:rPr>
              <w:t>综合得分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9" w:hRule="atLeast"/>
          <w:jc w:val="center"/>
        </w:trPr>
        <w:tc>
          <w:tcPr>
            <w:tcW w:w="1180" w:type="dxa"/>
            <w:shd w:val="clear" w:color="auto" w:fill="auto"/>
            <w:vAlign w:val="center"/>
          </w:tcPr>
          <w:p>
            <w:pPr>
              <w:spacing w:line="360" w:lineRule="auto"/>
              <w:jc w:val="center"/>
              <w:rPr>
                <w:rFonts w:ascii="仿宋_GB2312" w:hAnsi="仿宋_GB2312" w:eastAsia="仿宋_GB2312"/>
                <w:sz w:val="24"/>
              </w:rPr>
            </w:pPr>
            <w:r>
              <w:rPr>
                <w:rFonts w:hint="eastAsia" w:ascii="仿宋_GB2312" w:hAnsi="仿宋_GB2312" w:eastAsia="仿宋_GB2312"/>
                <w:sz w:val="24"/>
              </w:rPr>
              <w:t>过程</w:t>
            </w:r>
          </w:p>
        </w:tc>
        <w:tc>
          <w:tcPr>
            <w:tcW w:w="919" w:type="dxa"/>
            <w:shd w:val="clear" w:color="auto" w:fill="auto"/>
            <w:vAlign w:val="center"/>
          </w:tcPr>
          <w:p>
            <w:pPr>
              <w:spacing w:line="360" w:lineRule="auto"/>
              <w:jc w:val="center"/>
              <w:rPr>
                <w:rFonts w:ascii="仿宋_GB2312" w:hAnsi="仿宋_GB2312" w:eastAsia="仿宋_GB2312"/>
                <w:sz w:val="24"/>
              </w:rPr>
            </w:pPr>
            <w:r>
              <w:rPr>
                <w:rFonts w:hint="eastAsia" w:ascii="仿宋_GB2312" w:hAnsi="仿宋_GB2312" w:eastAsia="仿宋_GB2312"/>
                <w:sz w:val="24"/>
              </w:rPr>
              <w:t>20</w:t>
            </w:r>
          </w:p>
        </w:tc>
        <w:tc>
          <w:tcPr>
            <w:tcW w:w="1611" w:type="dxa"/>
            <w:shd w:val="clear" w:color="auto" w:fill="auto"/>
            <w:vAlign w:val="center"/>
          </w:tcPr>
          <w:p>
            <w:pPr>
              <w:widowControl/>
              <w:jc w:val="center"/>
              <w:textAlignment w:val="center"/>
              <w:rPr>
                <w:rFonts w:ascii="仿宋_GB2312" w:hAnsi="仿宋_GB2312" w:eastAsia="仿宋_GB2312"/>
                <w:sz w:val="24"/>
              </w:rPr>
            </w:pPr>
            <w:r>
              <w:rPr>
                <w:rFonts w:hint="eastAsia" w:ascii="仿宋_GB2312" w:hAnsi="宋体" w:eastAsia="仿宋_GB2312" w:cs="仿宋_GB2312"/>
                <w:color w:val="000000"/>
                <w:kern w:val="0"/>
                <w:sz w:val="24"/>
              </w:rPr>
              <w:t>19.48</w:t>
            </w:r>
          </w:p>
        </w:tc>
        <w:tc>
          <w:tcPr>
            <w:tcW w:w="1731" w:type="dxa"/>
            <w:shd w:val="clear" w:color="auto" w:fill="auto"/>
            <w:vAlign w:val="center"/>
          </w:tcPr>
          <w:p>
            <w:pPr>
              <w:widowControl/>
              <w:jc w:val="center"/>
              <w:textAlignment w:val="center"/>
              <w:rPr>
                <w:rFonts w:ascii="仿宋_GB2312" w:eastAsia="仿宋_GB2312"/>
                <w:sz w:val="24"/>
              </w:rPr>
            </w:pPr>
            <w:r>
              <w:rPr>
                <w:rFonts w:hint="eastAsia" w:ascii="仿宋_GB2312" w:hAnsi="宋体" w:eastAsia="仿宋_GB2312" w:cs="仿宋_GB2312"/>
                <w:color w:val="000000"/>
                <w:kern w:val="0"/>
                <w:sz w:val="24"/>
              </w:rPr>
              <w:t>14.46</w:t>
            </w:r>
          </w:p>
        </w:tc>
        <w:tc>
          <w:tcPr>
            <w:tcW w:w="1732" w:type="dxa"/>
            <w:shd w:val="clear" w:color="auto" w:fill="auto"/>
            <w:vAlign w:val="center"/>
          </w:tcPr>
          <w:p>
            <w:pPr>
              <w:widowControl/>
              <w:jc w:val="center"/>
              <w:textAlignment w:val="center"/>
              <w:rPr>
                <w:rFonts w:ascii="仿宋_GB2312" w:eastAsia="仿宋_GB2312"/>
                <w:sz w:val="24"/>
              </w:rPr>
            </w:pPr>
            <w:r>
              <w:rPr>
                <w:rFonts w:hint="eastAsia" w:ascii="仿宋_GB2312" w:hAnsi="宋体" w:eastAsia="仿宋_GB2312" w:cs="仿宋_GB2312"/>
                <w:color w:val="000000"/>
                <w:kern w:val="0"/>
                <w:sz w:val="24"/>
              </w:rPr>
              <w:t>14.66</w:t>
            </w:r>
          </w:p>
        </w:tc>
        <w:tc>
          <w:tcPr>
            <w:tcW w:w="1423" w:type="dxa"/>
            <w:shd w:val="clear" w:color="auto" w:fill="auto"/>
            <w:vAlign w:val="center"/>
          </w:tcPr>
          <w:p>
            <w:pPr>
              <w:widowControl/>
              <w:jc w:val="center"/>
              <w:textAlignment w:val="center"/>
              <w:rPr>
                <w:rFonts w:ascii="仿宋_GB2312" w:eastAsia="仿宋_GB2312"/>
                <w:sz w:val="24"/>
              </w:rPr>
            </w:pPr>
            <w:r>
              <w:rPr>
                <w:rFonts w:hint="eastAsia" w:ascii="仿宋_GB2312" w:hAnsi="宋体" w:eastAsia="仿宋_GB2312" w:cs="仿宋_GB2312"/>
                <w:color w:val="000000"/>
                <w:kern w:val="0"/>
                <w:sz w:val="24"/>
              </w:rPr>
              <w:t>17.92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9" w:hRule="atLeast"/>
          <w:jc w:val="center"/>
        </w:trPr>
        <w:tc>
          <w:tcPr>
            <w:tcW w:w="1180" w:type="dxa"/>
            <w:shd w:val="clear" w:color="auto" w:fill="auto"/>
            <w:vAlign w:val="center"/>
          </w:tcPr>
          <w:p>
            <w:pPr>
              <w:spacing w:line="360" w:lineRule="auto"/>
              <w:jc w:val="center"/>
              <w:rPr>
                <w:rFonts w:ascii="仿宋_GB2312" w:hAnsi="仿宋_GB2312" w:eastAsia="仿宋_GB2312"/>
                <w:sz w:val="24"/>
              </w:rPr>
            </w:pPr>
            <w:r>
              <w:rPr>
                <w:rFonts w:hint="eastAsia" w:ascii="仿宋_GB2312" w:hAnsi="仿宋_GB2312" w:eastAsia="仿宋_GB2312"/>
                <w:sz w:val="24"/>
              </w:rPr>
              <w:t>产出</w:t>
            </w:r>
          </w:p>
        </w:tc>
        <w:tc>
          <w:tcPr>
            <w:tcW w:w="919" w:type="dxa"/>
            <w:shd w:val="clear" w:color="auto" w:fill="auto"/>
            <w:vAlign w:val="center"/>
          </w:tcPr>
          <w:p>
            <w:pPr>
              <w:spacing w:line="360" w:lineRule="auto"/>
              <w:jc w:val="center"/>
              <w:rPr>
                <w:rFonts w:ascii="仿宋_GB2312" w:hAnsi="仿宋_GB2312" w:eastAsia="仿宋_GB2312"/>
                <w:sz w:val="24"/>
              </w:rPr>
            </w:pPr>
            <w:r>
              <w:rPr>
                <w:rFonts w:hint="eastAsia" w:ascii="仿宋_GB2312" w:hAnsi="仿宋_GB2312" w:eastAsia="仿宋_GB2312"/>
                <w:sz w:val="24"/>
              </w:rPr>
              <w:t>40</w:t>
            </w:r>
          </w:p>
        </w:tc>
        <w:tc>
          <w:tcPr>
            <w:tcW w:w="1611" w:type="dxa"/>
            <w:shd w:val="clear" w:color="auto" w:fill="auto"/>
            <w:vAlign w:val="center"/>
          </w:tcPr>
          <w:p>
            <w:pPr>
              <w:widowControl/>
              <w:jc w:val="center"/>
              <w:textAlignment w:val="center"/>
              <w:rPr>
                <w:rFonts w:ascii="仿宋_GB2312" w:hAnsi="仿宋_GB2312" w:eastAsia="仿宋_GB2312"/>
                <w:sz w:val="24"/>
              </w:rPr>
            </w:pPr>
            <w:r>
              <w:rPr>
                <w:rFonts w:hint="eastAsia" w:ascii="仿宋_GB2312" w:hAnsi="仿宋_GB2312" w:eastAsia="仿宋_GB2312"/>
                <w:sz w:val="24"/>
              </w:rPr>
              <w:t>40</w:t>
            </w:r>
          </w:p>
        </w:tc>
        <w:tc>
          <w:tcPr>
            <w:tcW w:w="1731" w:type="dxa"/>
            <w:shd w:val="clear" w:color="auto" w:fill="auto"/>
            <w:vAlign w:val="center"/>
          </w:tcPr>
          <w:p>
            <w:pPr>
              <w:widowControl/>
              <w:jc w:val="center"/>
              <w:textAlignment w:val="center"/>
              <w:rPr>
                <w:rFonts w:ascii="仿宋_GB2312" w:eastAsia="仿宋_GB2312"/>
                <w:sz w:val="24"/>
              </w:rPr>
            </w:pPr>
            <w:r>
              <w:rPr>
                <w:rFonts w:hint="eastAsia" w:ascii="仿宋_GB2312" w:eastAsia="仿宋_GB2312"/>
                <w:sz w:val="24"/>
              </w:rPr>
              <w:t>40</w:t>
            </w:r>
          </w:p>
        </w:tc>
        <w:tc>
          <w:tcPr>
            <w:tcW w:w="1732" w:type="dxa"/>
            <w:shd w:val="clear" w:color="auto" w:fill="auto"/>
            <w:vAlign w:val="center"/>
          </w:tcPr>
          <w:p>
            <w:pPr>
              <w:widowControl/>
              <w:jc w:val="center"/>
              <w:textAlignment w:val="center"/>
              <w:rPr>
                <w:rFonts w:hint="default" w:ascii="仿宋_GB2312" w:eastAsia="仿宋_GB2312"/>
                <w:sz w:val="24"/>
                <w:lang w:val="en-US" w:eastAsia="zh-CN"/>
              </w:rPr>
            </w:pPr>
            <w:r>
              <w:rPr>
                <w:rFonts w:hint="eastAsia" w:ascii="仿宋_GB2312" w:eastAsia="仿宋_GB2312"/>
                <w:sz w:val="24"/>
                <w:lang w:val="en-US" w:eastAsia="zh-CN"/>
              </w:rPr>
              <w:t>40</w:t>
            </w:r>
          </w:p>
        </w:tc>
        <w:tc>
          <w:tcPr>
            <w:tcW w:w="1423" w:type="dxa"/>
            <w:shd w:val="clear" w:color="auto" w:fill="auto"/>
            <w:vAlign w:val="center"/>
          </w:tcPr>
          <w:p>
            <w:pPr>
              <w:widowControl/>
              <w:jc w:val="center"/>
              <w:textAlignment w:val="center"/>
              <w:rPr>
                <w:rFonts w:hint="default" w:ascii="仿宋_GB2312" w:eastAsia="仿宋_GB2312"/>
                <w:sz w:val="24"/>
                <w:lang w:val="en-US" w:eastAsia="zh-CN"/>
              </w:rPr>
            </w:pPr>
            <w:r>
              <w:rPr>
                <w:rFonts w:hint="eastAsia" w:ascii="仿宋_GB2312" w:eastAsia="仿宋_GB2312"/>
                <w:sz w:val="24"/>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9" w:hRule="atLeast"/>
          <w:jc w:val="center"/>
        </w:trPr>
        <w:tc>
          <w:tcPr>
            <w:tcW w:w="1180" w:type="dxa"/>
            <w:shd w:val="clear" w:color="auto" w:fill="auto"/>
            <w:vAlign w:val="center"/>
          </w:tcPr>
          <w:p>
            <w:pPr>
              <w:spacing w:line="360" w:lineRule="auto"/>
              <w:jc w:val="center"/>
              <w:rPr>
                <w:rFonts w:ascii="仿宋_GB2312" w:hAnsi="仿宋_GB2312" w:eastAsia="仿宋_GB2312"/>
                <w:sz w:val="24"/>
              </w:rPr>
            </w:pPr>
            <w:r>
              <w:rPr>
                <w:rFonts w:hint="eastAsia" w:ascii="仿宋_GB2312" w:hAnsi="仿宋_GB2312" w:eastAsia="仿宋_GB2312"/>
                <w:sz w:val="24"/>
              </w:rPr>
              <w:t>效益</w:t>
            </w:r>
          </w:p>
        </w:tc>
        <w:tc>
          <w:tcPr>
            <w:tcW w:w="919" w:type="dxa"/>
            <w:shd w:val="clear" w:color="auto" w:fill="auto"/>
            <w:vAlign w:val="center"/>
          </w:tcPr>
          <w:p>
            <w:pPr>
              <w:spacing w:line="360" w:lineRule="auto"/>
              <w:jc w:val="center"/>
              <w:rPr>
                <w:rFonts w:ascii="仿宋_GB2312" w:hAnsi="仿宋_GB2312" w:eastAsia="仿宋_GB2312"/>
                <w:sz w:val="24"/>
              </w:rPr>
            </w:pPr>
            <w:r>
              <w:rPr>
                <w:rFonts w:hint="eastAsia" w:ascii="仿宋_GB2312" w:hAnsi="仿宋_GB2312" w:eastAsia="仿宋_GB2312"/>
                <w:sz w:val="24"/>
              </w:rPr>
              <w:t>40</w:t>
            </w:r>
          </w:p>
        </w:tc>
        <w:tc>
          <w:tcPr>
            <w:tcW w:w="1611" w:type="dxa"/>
            <w:shd w:val="clear" w:color="auto" w:fill="auto"/>
            <w:vAlign w:val="center"/>
          </w:tcPr>
          <w:p>
            <w:pPr>
              <w:widowControl/>
              <w:jc w:val="center"/>
              <w:textAlignment w:val="center"/>
              <w:rPr>
                <w:rFonts w:ascii="仿宋_GB2312" w:hAnsi="仿宋_GB2312" w:eastAsia="仿宋_GB2312"/>
                <w:sz w:val="24"/>
              </w:rPr>
            </w:pPr>
            <w:r>
              <w:rPr>
                <w:rFonts w:hint="eastAsia" w:ascii="仿宋_GB2312" w:hAnsi="仿宋_GB2312" w:eastAsia="仿宋_GB2312"/>
                <w:sz w:val="24"/>
              </w:rPr>
              <w:t>40</w:t>
            </w:r>
          </w:p>
        </w:tc>
        <w:tc>
          <w:tcPr>
            <w:tcW w:w="1731" w:type="dxa"/>
            <w:shd w:val="clear" w:color="auto" w:fill="auto"/>
            <w:vAlign w:val="center"/>
          </w:tcPr>
          <w:p>
            <w:pPr>
              <w:widowControl/>
              <w:jc w:val="center"/>
              <w:textAlignment w:val="center"/>
              <w:rPr>
                <w:rFonts w:ascii="仿宋_GB2312" w:eastAsia="仿宋_GB2312"/>
                <w:sz w:val="24"/>
              </w:rPr>
            </w:pPr>
            <w:r>
              <w:rPr>
                <w:rFonts w:hint="eastAsia" w:ascii="仿宋_GB2312" w:eastAsia="仿宋_GB2312"/>
                <w:sz w:val="24"/>
              </w:rPr>
              <w:t>40</w:t>
            </w:r>
          </w:p>
        </w:tc>
        <w:tc>
          <w:tcPr>
            <w:tcW w:w="1732" w:type="dxa"/>
            <w:shd w:val="clear" w:color="auto" w:fill="auto"/>
            <w:vAlign w:val="center"/>
          </w:tcPr>
          <w:p>
            <w:pPr>
              <w:widowControl/>
              <w:jc w:val="center"/>
              <w:textAlignment w:val="center"/>
              <w:rPr>
                <w:rFonts w:ascii="仿宋_GB2312" w:eastAsia="仿宋_GB2312"/>
                <w:sz w:val="24"/>
              </w:rPr>
            </w:pPr>
            <w:r>
              <w:rPr>
                <w:rFonts w:hint="eastAsia" w:ascii="仿宋_GB2312" w:eastAsia="仿宋_GB2312"/>
                <w:sz w:val="24"/>
              </w:rPr>
              <w:t>40</w:t>
            </w:r>
          </w:p>
        </w:tc>
        <w:tc>
          <w:tcPr>
            <w:tcW w:w="1423" w:type="dxa"/>
            <w:shd w:val="clear" w:color="auto" w:fill="auto"/>
            <w:vAlign w:val="center"/>
          </w:tcPr>
          <w:p>
            <w:pPr>
              <w:widowControl/>
              <w:jc w:val="center"/>
              <w:textAlignment w:val="center"/>
              <w:rPr>
                <w:rFonts w:ascii="仿宋_GB2312" w:eastAsia="仿宋_GB2312"/>
                <w:sz w:val="24"/>
              </w:rPr>
            </w:pPr>
            <w:r>
              <w:rPr>
                <w:rFonts w:hint="eastAsia" w:ascii="仿宋_GB2312" w:eastAsia="仿宋_GB2312"/>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jc w:val="center"/>
        </w:trPr>
        <w:tc>
          <w:tcPr>
            <w:tcW w:w="1180" w:type="dxa"/>
            <w:shd w:val="clear" w:color="auto" w:fill="DBEEF3"/>
            <w:vAlign w:val="center"/>
          </w:tcPr>
          <w:p>
            <w:pPr>
              <w:spacing w:line="360" w:lineRule="auto"/>
              <w:jc w:val="center"/>
              <w:rPr>
                <w:rFonts w:ascii="仿宋_GB2312" w:hAnsi="仿宋_GB2312" w:eastAsia="仿宋_GB2312"/>
                <w:b/>
                <w:bCs/>
                <w:sz w:val="24"/>
              </w:rPr>
            </w:pPr>
            <w:r>
              <w:rPr>
                <w:rFonts w:hint="eastAsia" w:ascii="仿宋_GB2312" w:hAnsi="仿宋_GB2312" w:eastAsia="仿宋_GB2312"/>
                <w:b/>
                <w:bCs/>
                <w:sz w:val="24"/>
              </w:rPr>
              <w:t>合计</w:t>
            </w:r>
          </w:p>
        </w:tc>
        <w:tc>
          <w:tcPr>
            <w:tcW w:w="919" w:type="dxa"/>
            <w:shd w:val="clear" w:color="auto" w:fill="DBEEF3"/>
            <w:vAlign w:val="center"/>
          </w:tcPr>
          <w:p>
            <w:pPr>
              <w:spacing w:line="360" w:lineRule="auto"/>
              <w:jc w:val="center"/>
              <w:rPr>
                <w:rFonts w:ascii="仿宋_GB2312" w:hAnsi="仿宋_GB2312" w:eastAsia="仿宋_GB2312"/>
                <w:b/>
                <w:bCs/>
                <w:sz w:val="24"/>
              </w:rPr>
            </w:pPr>
            <w:r>
              <w:rPr>
                <w:rFonts w:hint="eastAsia" w:ascii="仿宋_GB2312" w:hAnsi="仿宋_GB2312" w:eastAsia="仿宋_GB2312"/>
                <w:b/>
                <w:bCs/>
                <w:sz w:val="24"/>
              </w:rPr>
              <w:t>100</w:t>
            </w:r>
          </w:p>
        </w:tc>
        <w:tc>
          <w:tcPr>
            <w:tcW w:w="1611" w:type="dxa"/>
            <w:shd w:val="clear" w:color="auto" w:fill="DBEEF3"/>
            <w:vAlign w:val="center"/>
          </w:tcPr>
          <w:p>
            <w:pPr>
              <w:widowControl/>
              <w:jc w:val="center"/>
              <w:textAlignment w:val="center"/>
              <w:rPr>
                <w:rFonts w:ascii="仿宋_GB2312" w:eastAsia="仿宋_GB2312" w:cs="宋体"/>
                <w:b/>
                <w:bCs/>
                <w:kern w:val="0"/>
                <w:sz w:val="24"/>
              </w:rPr>
            </w:pPr>
            <w:r>
              <w:rPr>
                <w:rFonts w:hint="eastAsia" w:ascii="仿宋_GB2312" w:eastAsia="仿宋_GB2312" w:cs="宋体"/>
                <w:b/>
                <w:bCs/>
                <w:kern w:val="0"/>
                <w:sz w:val="24"/>
              </w:rPr>
              <w:t>99.48</w:t>
            </w:r>
          </w:p>
        </w:tc>
        <w:tc>
          <w:tcPr>
            <w:tcW w:w="1731" w:type="dxa"/>
            <w:shd w:val="clear" w:color="auto" w:fill="DBEEF3"/>
            <w:vAlign w:val="center"/>
          </w:tcPr>
          <w:p>
            <w:pPr>
              <w:widowControl/>
              <w:jc w:val="center"/>
              <w:textAlignment w:val="center"/>
              <w:rPr>
                <w:rFonts w:ascii="仿宋_GB2312" w:eastAsia="仿宋_GB2312" w:cs="宋体"/>
                <w:b/>
                <w:bCs/>
                <w:kern w:val="0"/>
                <w:sz w:val="24"/>
              </w:rPr>
            </w:pPr>
            <w:r>
              <w:rPr>
                <w:rFonts w:hint="eastAsia" w:ascii="仿宋_GB2312" w:eastAsia="仿宋_GB2312" w:cs="宋体"/>
                <w:b/>
                <w:bCs/>
                <w:kern w:val="0"/>
                <w:sz w:val="24"/>
              </w:rPr>
              <w:t>94.46</w:t>
            </w:r>
          </w:p>
        </w:tc>
        <w:tc>
          <w:tcPr>
            <w:tcW w:w="1732" w:type="dxa"/>
            <w:shd w:val="clear" w:color="auto" w:fill="DBEEF3"/>
            <w:vAlign w:val="center"/>
          </w:tcPr>
          <w:p>
            <w:pPr>
              <w:widowControl/>
              <w:jc w:val="center"/>
              <w:textAlignment w:val="center"/>
              <w:rPr>
                <w:rFonts w:hint="default" w:ascii="仿宋_GB2312" w:eastAsia="仿宋_GB2312" w:cs="宋体"/>
                <w:b/>
                <w:bCs/>
                <w:kern w:val="0"/>
                <w:sz w:val="24"/>
                <w:lang w:val="en-US" w:eastAsia="zh-CN"/>
              </w:rPr>
            </w:pPr>
            <w:r>
              <w:rPr>
                <w:rFonts w:hint="eastAsia" w:ascii="仿宋_GB2312" w:eastAsia="仿宋_GB2312" w:cs="宋体"/>
                <w:b/>
                <w:bCs/>
                <w:kern w:val="0"/>
                <w:sz w:val="24"/>
                <w:lang w:val="en-US" w:eastAsia="zh-CN"/>
              </w:rPr>
              <w:t>94.66</w:t>
            </w:r>
          </w:p>
        </w:tc>
        <w:tc>
          <w:tcPr>
            <w:tcW w:w="1423" w:type="dxa"/>
            <w:shd w:val="clear" w:color="auto" w:fill="DBEEF3"/>
            <w:vAlign w:val="center"/>
          </w:tcPr>
          <w:p>
            <w:pPr>
              <w:widowControl/>
              <w:jc w:val="center"/>
              <w:textAlignment w:val="center"/>
              <w:rPr>
                <w:rFonts w:hint="default" w:ascii="仿宋_GB2312" w:eastAsia="仿宋_GB2312" w:cs="宋体"/>
                <w:b/>
                <w:bCs/>
                <w:kern w:val="0"/>
                <w:sz w:val="24"/>
                <w:lang w:val="en-US" w:eastAsia="zh-CN"/>
              </w:rPr>
            </w:pPr>
            <w:r>
              <w:rPr>
                <w:rFonts w:hint="eastAsia" w:ascii="仿宋_GB2312" w:eastAsia="仿宋_GB2312" w:cs="宋体"/>
                <w:b/>
                <w:bCs/>
                <w:kern w:val="0"/>
                <w:sz w:val="24"/>
              </w:rPr>
              <w:t>97.</w:t>
            </w:r>
            <w:r>
              <w:rPr>
                <w:rFonts w:hint="eastAsia" w:ascii="仿宋_GB2312" w:eastAsia="仿宋_GB2312" w:cs="宋体"/>
                <w:b/>
                <w:bCs/>
                <w:kern w:val="0"/>
                <w:sz w:val="24"/>
                <w:lang w:val="en-US" w:eastAsia="zh-CN"/>
              </w:rPr>
              <w:t>92</w:t>
            </w:r>
          </w:p>
        </w:tc>
      </w:tr>
    </w:tbl>
    <w:p>
      <w:pPr>
        <w:widowControl/>
        <w:spacing w:before="156" w:beforeLines="50" w:line="360" w:lineRule="auto"/>
        <w:ind w:firstLine="642" w:firstLineChars="200"/>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（二）专项资金使用绩效</w:t>
      </w:r>
    </w:p>
    <w:p>
      <w:pPr>
        <w:spacing w:line="360" w:lineRule="auto"/>
        <w:ind w:firstLine="642" w:firstLineChars="200"/>
        <w:outlineLvl w:val="2"/>
        <w:rPr>
          <w:rFonts w:ascii="仿宋_GB2312" w:eastAsia="仿宋_GB2312"/>
          <w:b/>
          <w:bCs/>
          <w:sz w:val="32"/>
          <w:szCs w:val="32"/>
        </w:rPr>
      </w:pPr>
      <w:r>
        <w:rPr>
          <w:rFonts w:hint="eastAsia" w:ascii="仿宋_GB2312" w:eastAsia="仿宋_GB2312"/>
          <w:b/>
          <w:bCs/>
          <w:sz w:val="32"/>
          <w:szCs w:val="32"/>
        </w:rPr>
        <w:t>1.专项资金支出情况</w:t>
      </w:r>
    </w:p>
    <w:p>
      <w:pPr>
        <w:spacing w:line="360" w:lineRule="auto"/>
        <w:ind w:firstLine="640" w:firstLineChars="200"/>
        <w:rPr>
          <w:rFonts w:ascii="仿宋_GB2312" w:hAnsi="宋体" w:eastAsia="仿宋_GB2312"/>
          <w:color w:val="0000FF"/>
          <w:kern w:val="0"/>
          <w:sz w:val="32"/>
          <w:szCs w:val="32"/>
        </w:rPr>
      </w:pPr>
      <w:r>
        <w:rPr>
          <w:rFonts w:hint="eastAsia" w:ascii="仿宋_GB2312" w:hAnsi="宋体" w:eastAsia="仿宋_GB2312"/>
          <w:kern w:val="0"/>
          <w:sz w:val="32"/>
          <w:szCs w:val="32"/>
        </w:rPr>
        <w:t>竞技体育项目下达资金总计52,829</w:t>
      </w:r>
      <w:r>
        <w:rPr>
          <w:rFonts w:ascii="仿宋_GB2312" w:hAnsi="宋体" w:eastAsia="仿宋_GB2312"/>
          <w:kern w:val="0"/>
          <w:sz w:val="32"/>
          <w:szCs w:val="32"/>
        </w:rPr>
        <w:t>万元，</w:t>
      </w:r>
      <w:r>
        <w:rPr>
          <w:rFonts w:hint="eastAsia" w:ascii="仿宋_GB2312" w:eastAsia="仿宋_GB2312"/>
          <w:sz w:val="32"/>
          <w:szCs w:val="32"/>
        </w:rPr>
        <w:t>我局年末申</w:t>
      </w:r>
      <w:r>
        <w:rPr>
          <w:rFonts w:hint="eastAsia" w:ascii="仿宋_GB2312" w:hAnsi="宋体" w:eastAsia="仿宋_GB2312"/>
          <w:kern w:val="0"/>
          <w:sz w:val="32"/>
          <w:szCs w:val="32"/>
        </w:rPr>
        <w:t>请收回2</w:t>
      </w:r>
      <w:r>
        <w:rPr>
          <w:rFonts w:hint="eastAsia" w:ascii="仿宋_GB2312" w:hAnsi="宋体" w:eastAsia="仿宋_GB2312"/>
          <w:kern w:val="0"/>
          <w:sz w:val="32"/>
          <w:szCs w:val="32"/>
          <w:lang w:val="en-US" w:eastAsia="zh-CN"/>
        </w:rPr>
        <w:t>,</w:t>
      </w:r>
      <w:r>
        <w:rPr>
          <w:rFonts w:hint="eastAsia" w:ascii="仿宋_GB2312" w:hAnsi="宋体" w:eastAsia="仿宋_GB2312"/>
          <w:kern w:val="0"/>
          <w:sz w:val="32"/>
          <w:szCs w:val="32"/>
        </w:rPr>
        <w:t>000</w:t>
      </w:r>
      <w:r>
        <w:rPr>
          <w:rFonts w:ascii="仿宋_GB2312" w:hAnsi="宋体" w:eastAsia="仿宋_GB2312"/>
          <w:kern w:val="0"/>
          <w:sz w:val="32"/>
          <w:szCs w:val="32"/>
        </w:rPr>
        <w:t>万元</w:t>
      </w:r>
      <w:r>
        <w:rPr>
          <w:rFonts w:hint="eastAsia" w:ascii="仿宋_GB2312" w:hAnsi="宋体" w:eastAsia="仿宋_GB2312"/>
          <w:kern w:val="0"/>
          <w:sz w:val="32"/>
          <w:szCs w:val="32"/>
          <w:lang w:eastAsia="zh-CN"/>
        </w:rPr>
        <w:t>（十五运场馆维修改造项目）</w:t>
      </w:r>
      <w:r>
        <w:rPr>
          <w:rFonts w:ascii="仿宋_GB2312" w:hAnsi="宋体" w:eastAsia="仿宋_GB2312"/>
          <w:kern w:val="0"/>
          <w:sz w:val="32"/>
          <w:szCs w:val="32"/>
        </w:rPr>
        <w:t>，实际下达资金</w:t>
      </w:r>
      <w:r>
        <w:rPr>
          <w:rFonts w:hint="eastAsia" w:ascii="仿宋_GB2312" w:hAnsi="宋体" w:eastAsia="仿宋_GB2312"/>
          <w:kern w:val="0"/>
          <w:sz w:val="32"/>
          <w:szCs w:val="32"/>
        </w:rPr>
        <w:t>50,829</w:t>
      </w:r>
      <w:r>
        <w:rPr>
          <w:rFonts w:ascii="仿宋_GB2312" w:hAnsi="宋体" w:eastAsia="仿宋_GB2312"/>
          <w:kern w:val="0"/>
          <w:sz w:val="32"/>
          <w:szCs w:val="32"/>
        </w:rPr>
        <w:t>万元。截至</w:t>
      </w:r>
      <w:r>
        <w:rPr>
          <w:rFonts w:hint="eastAsia" w:ascii="仿宋_GB2312" w:hAnsi="宋体" w:eastAsia="仿宋_GB2312"/>
          <w:kern w:val="0"/>
          <w:sz w:val="32"/>
          <w:szCs w:val="32"/>
        </w:rPr>
        <w:t>2023年</w:t>
      </w:r>
      <w:r>
        <w:rPr>
          <w:rFonts w:ascii="仿宋_GB2312" w:hAnsi="宋体" w:eastAsia="仿宋_GB2312"/>
          <w:kern w:val="0"/>
          <w:sz w:val="32"/>
          <w:szCs w:val="32"/>
        </w:rPr>
        <w:t>12月31日，项目实际支出总计</w:t>
      </w:r>
      <w:r>
        <w:rPr>
          <w:rFonts w:hint="eastAsia" w:ascii="仿宋_GB2312" w:hAnsi="宋体" w:eastAsia="仿宋_GB2312"/>
          <w:kern w:val="0"/>
          <w:sz w:val="32"/>
          <w:szCs w:val="32"/>
        </w:rPr>
        <w:t>41,970.87</w:t>
      </w:r>
      <w:r>
        <w:rPr>
          <w:rFonts w:ascii="仿宋_GB2312" w:hAnsi="宋体" w:eastAsia="仿宋_GB2312"/>
          <w:kern w:val="0"/>
          <w:sz w:val="32"/>
          <w:szCs w:val="32"/>
        </w:rPr>
        <w:t>万元，资金支出率</w:t>
      </w:r>
      <w:r>
        <w:rPr>
          <w:rFonts w:hint="eastAsia" w:ascii="仿宋_GB2312" w:hAnsi="宋体" w:eastAsia="仿宋_GB2312"/>
          <w:kern w:val="0"/>
          <w:sz w:val="32"/>
          <w:szCs w:val="32"/>
        </w:rPr>
        <w:t>82.57</w:t>
      </w:r>
      <w:r>
        <w:rPr>
          <w:rFonts w:ascii="仿宋_GB2312" w:hAnsi="宋体" w:eastAsia="仿宋_GB2312"/>
          <w:kern w:val="0"/>
          <w:sz w:val="32"/>
          <w:szCs w:val="32"/>
        </w:rPr>
        <w:t>%。</w:t>
      </w:r>
      <w:r>
        <w:rPr>
          <w:rFonts w:hint="eastAsia" w:ascii="仿宋_GB2312" w:hAnsi="宋体" w:eastAsia="仿宋_GB2312"/>
          <w:kern w:val="0"/>
          <w:sz w:val="32"/>
          <w:szCs w:val="32"/>
        </w:rPr>
        <w:t>三个政</w:t>
      </w:r>
      <w:r>
        <w:rPr>
          <w:rFonts w:hint="eastAsia" w:ascii="仿宋_GB2312" w:eastAsia="仿宋_GB2312"/>
          <w:sz w:val="32"/>
          <w:szCs w:val="32"/>
        </w:rPr>
        <w:t>策任务的支出率分别是：备战重大体育赛事95.68%、资助承办竞技类体育赛事53.86%、运动队保障项目55.54%，总支出率为</w:t>
      </w:r>
      <w:r>
        <w:rPr>
          <w:rFonts w:hint="eastAsia" w:ascii="仿宋_GB2312" w:hAnsi="宋体" w:eastAsia="仿宋_GB2312"/>
          <w:kern w:val="0"/>
          <w:sz w:val="32"/>
          <w:szCs w:val="32"/>
        </w:rPr>
        <w:t>82.57</w:t>
      </w:r>
      <w:r>
        <w:rPr>
          <w:rFonts w:hint="eastAsia" w:ascii="仿宋_GB2312" w:eastAsia="仿宋_GB2312"/>
          <w:sz w:val="32"/>
          <w:szCs w:val="32"/>
        </w:rPr>
        <w:t>%。</w:t>
      </w:r>
      <w:r>
        <w:rPr>
          <w:rFonts w:hint="eastAsia" w:ascii="仿宋_GB2312" w:hAnsi="宋体" w:eastAsia="仿宋_GB2312"/>
          <w:kern w:val="0"/>
          <w:sz w:val="32"/>
          <w:szCs w:val="32"/>
        </w:rPr>
        <w:t>项目资金支出率没有达到100%的主要原因是资助承办竞技类体育赛事项目中，部分</w:t>
      </w:r>
      <w:r>
        <w:rPr>
          <w:rFonts w:hint="eastAsia" w:ascii="仿宋_GB2312" w:hAnsi="宋体" w:eastAsia="仿宋_GB2312"/>
          <w:kern w:val="0"/>
          <w:sz w:val="32"/>
          <w:szCs w:val="32"/>
          <w:lang w:eastAsia="zh-CN"/>
        </w:rPr>
        <w:t>转移支付</w:t>
      </w:r>
      <w:r>
        <w:rPr>
          <w:rFonts w:hint="eastAsia" w:ascii="仿宋_GB2312" w:hAnsi="宋体" w:eastAsia="仿宋_GB2312"/>
          <w:kern w:val="0"/>
          <w:sz w:val="32"/>
          <w:szCs w:val="32"/>
        </w:rPr>
        <w:t>资金到位时间较晚，影响支付；运动队保障项目中，二沙中心推进宿舍和室外管网等配套工程</w:t>
      </w:r>
      <w:r>
        <w:rPr>
          <w:rFonts w:hint="eastAsia" w:ascii="仿宋_GB2312" w:hAnsi="宋体" w:eastAsia="仿宋_GB2312"/>
          <w:kern w:val="0"/>
          <w:sz w:val="32"/>
          <w:szCs w:val="32"/>
          <w:lang w:eastAsia="zh-CN"/>
        </w:rPr>
        <w:t>、</w:t>
      </w:r>
      <w:r>
        <w:rPr>
          <w:rFonts w:hint="eastAsia" w:ascii="仿宋_GB2312" w:hAnsi="宋体" w:eastAsia="仿宋_GB2312"/>
          <w:kern w:val="0"/>
          <w:sz w:val="32"/>
          <w:szCs w:val="32"/>
        </w:rPr>
        <w:t>田径场、网球场建设</w:t>
      </w:r>
      <w:r>
        <w:rPr>
          <w:rFonts w:hint="eastAsia" w:ascii="仿宋_GB2312" w:hAnsi="宋体" w:eastAsia="仿宋_GB2312"/>
          <w:kern w:val="0"/>
          <w:sz w:val="32"/>
          <w:szCs w:val="32"/>
          <w:lang w:eastAsia="zh-CN"/>
        </w:rPr>
        <w:t>，</w:t>
      </w:r>
      <w:r>
        <w:rPr>
          <w:rFonts w:hint="eastAsia" w:ascii="仿宋_GB2312" w:hAnsi="宋体" w:eastAsia="仿宋_GB2312"/>
          <w:kern w:val="0"/>
          <w:sz w:val="32"/>
          <w:szCs w:val="32"/>
        </w:rPr>
        <w:t>项目按施工计划</w:t>
      </w:r>
      <w:r>
        <w:rPr>
          <w:rFonts w:hint="eastAsia" w:ascii="仿宋_GB2312" w:hAnsi="宋体" w:eastAsia="仿宋_GB2312"/>
          <w:kern w:val="0"/>
          <w:sz w:val="32"/>
          <w:szCs w:val="32"/>
          <w:lang w:eastAsia="zh-CN"/>
        </w:rPr>
        <w:t>执行</w:t>
      </w:r>
      <w:r>
        <w:rPr>
          <w:rFonts w:hint="eastAsia" w:ascii="仿宋_GB2312" w:hAnsi="宋体" w:eastAsia="仿宋_GB2312"/>
          <w:kern w:val="0"/>
          <w:sz w:val="32"/>
          <w:szCs w:val="32"/>
        </w:rPr>
        <w:t>，按照合同</w:t>
      </w:r>
      <w:r>
        <w:rPr>
          <w:rFonts w:hint="eastAsia" w:ascii="仿宋_GB2312" w:hAnsi="宋体" w:eastAsia="仿宋_GB2312"/>
          <w:kern w:val="0"/>
          <w:sz w:val="32"/>
          <w:szCs w:val="32"/>
          <w:lang w:eastAsia="zh-CN"/>
        </w:rPr>
        <w:t>约定</w:t>
      </w:r>
      <w:r>
        <w:rPr>
          <w:rFonts w:hint="eastAsia" w:ascii="仿宋_GB2312" w:hAnsi="宋体" w:eastAsia="仿宋_GB2312"/>
          <w:kern w:val="0"/>
          <w:sz w:val="32"/>
          <w:szCs w:val="32"/>
        </w:rPr>
        <w:t>，进度款尚未需</w:t>
      </w:r>
      <w:r>
        <w:rPr>
          <w:rFonts w:hint="eastAsia" w:ascii="仿宋_GB2312" w:eastAsia="仿宋_GB2312"/>
          <w:sz w:val="32"/>
          <w:szCs w:val="32"/>
        </w:rPr>
        <w:t>要支付。</w:t>
      </w:r>
    </w:p>
    <w:p>
      <w:pPr>
        <w:adjustRightInd w:val="0"/>
        <w:spacing w:before="156" w:beforeLines="50" w:line="360" w:lineRule="auto"/>
        <w:ind w:firstLine="642" w:firstLineChars="200"/>
        <w:outlineLvl w:val="2"/>
        <w:rPr>
          <w:rFonts w:ascii="仿宋_GB2312" w:eastAsia="仿宋_GB2312"/>
          <w:b/>
          <w:bCs/>
          <w:sz w:val="32"/>
          <w:szCs w:val="32"/>
        </w:rPr>
      </w:pPr>
      <w:r>
        <w:rPr>
          <w:rFonts w:hint="eastAsia" w:ascii="仿宋_GB2312" w:eastAsia="仿宋_GB2312"/>
          <w:b/>
          <w:bCs/>
          <w:sz w:val="32"/>
          <w:szCs w:val="32"/>
        </w:rPr>
        <w:t>2.专项资金完成绩效目标情况</w:t>
      </w:r>
    </w:p>
    <w:p>
      <w:pPr>
        <w:spacing w:line="360" w:lineRule="auto"/>
        <w:ind w:firstLine="642" w:firstLineChars="200"/>
        <w:rPr>
          <w:rFonts w:ascii="仿宋_GB2312" w:eastAsia="仿宋_GB2312"/>
          <w:b/>
          <w:bCs/>
          <w:sz w:val="32"/>
          <w:szCs w:val="32"/>
        </w:rPr>
      </w:pPr>
      <w:r>
        <w:rPr>
          <w:rFonts w:hint="eastAsia" w:ascii="仿宋_GB2312" w:eastAsia="仿宋_GB2312"/>
          <w:b/>
          <w:bCs/>
          <w:sz w:val="32"/>
          <w:szCs w:val="32"/>
        </w:rPr>
        <w:t>（1）年度绩效</w:t>
      </w:r>
      <w:r>
        <w:rPr>
          <w:rFonts w:hint="eastAsia" w:ascii="仿宋_GB2312" w:eastAsia="仿宋_GB2312"/>
          <w:b/>
          <w:bCs/>
          <w:sz w:val="32"/>
          <w:szCs w:val="32"/>
          <w:lang w:eastAsia="zh-CN"/>
        </w:rPr>
        <w:t>总体</w:t>
      </w:r>
      <w:r>
        <w:rPr>
          <w:rFonts w:hint="eastAsia" w:ascii="仿宋_GB2312" w:eastAsia="仿宋_GB2312"/>
          <w:b/>
          <w:bCs/>
          <w:sz w:val="32"/>
          <w:szCs w:val="32"/>
        </w:rPr>
        <w:t>目标完成情况</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截至2023年12月31日，竞技体育项目年度绩效总体目标完成情况，各项年度</w:t>
      </w:r>
      <w:r>
        <w:rPr>
          <w:rFonts w:hint="eastAsia" w:ascii="仿宋_GB2312" w:eastAsia="仿宋_GB2312"/>
          <w:sz w:val="32"/>
          <w:szCs w:val="32"/>
          <w:lang w:eastAsia="zh-CN"/>
        </w:rPr>
        <w:t>预期</w:t>
      </w:r>
      <w:r>
        <w:rPr>
          <w:rFonts w:hint="eastAsia" w:ascii="仿宋_GB2312" w:eastAsia="仿宋_GB2312"/>
          <w:sz w:val="32"/>
          <w:szCs w:val="32"/>
        </w:rPr>
        <w:t>总体目标已经全部完成。具体的项目绩效目标完成情况见表2-3所示。</w:t>
      </w:r>
    </w:p>
    <w:p>
      <w:pPr>
        <w:jc w:val="center"/>
        <w:rPr>
          <w:rFonts w:ascii="黑体" w:hAnsi="黑体" w:eastAsia="黑体" w:cs="宋体"/>
          <w:sz w:val="28"/>
          <w:szCs w:val="32"/>
        </w:rPr>
      </w:pPr>
      <w:r>
        <w:rPr>
          <w:rFonts w:hint="eastAsia" w:ascii="黑体" w:hAnsi="黑体" w:eastAsia="黑体" w:cs="宋体"/>
          <w:sz w:val="28"/>
          <w:szCs w:val="32"/>
        </w:rPr>
        <w:t>表2-3 项目</w:t>
      </w:r>
      <w:r>
        <w:rPr>
          <w:rFonts w:hint="eastAsia" w:ascii="黑体" w:hAnsi="黑体" w:eastAsia="黑体" w:cs="宋体"/>
          <w:color w:val="auto"/>
          <w:sz w:val="28"/>
          <w:szCs w:val="32"/>
        </w:rPr>
        <w:t>绩效目标完成情</w:t>
      </w:r>
      <w:r>
        <w:rPr>
          <w:rFonts w:hint="eastAsia" w:ascii="黑体" w:hAnsi="黑体" w:eastAsia="黑体" w:cs="宋体"/>
          <w:sz w:val="28"/>
          <w:szCs w:val="32"/>
        </w:rPr>
        <w:t>况表</w:t>
      </w:r>
    </w:p>
    <w:tbl>
      <w:tblPr>
        <w:tblStyle w:val="10"/>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13" w:type="dxa"/>
          <w:bottom w:w="113" w:type="dxa"/>
          <w:right w:w="113" w:type="dxa"/>
        </w:tblCellMar>
      </w:tblPr>
      <w:tblGrid>
        <w:gridCol w:w="713"/>
        <w:gridCol w:w="2316"/>
        <w:gridCol w:w="5027"/>
        <w:gridCol w:w="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13" w:type="dxa"/>
            <w:shd w:val="clear" w:color="auto" w:fill="DBEEF3"/>
            <w:vAlign w:val="center"/>
          </w:tcPr>
          <w:p>
            <w:pPr>
              <w:adjustRightInd w:val="0"/>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政策</w:t>
            </w:r>
          </w:p>
          <w:p>
            <w:pPr>
              <w:adjustRightInd w:val="0"/>
              <w:snapToGrid w:val="0"/>
              <w:jc w:val="center"/>
              <w:rPr>
                <w:rFonts w:ascii="仿宋_GB2312" w:hAnsi="仿宋_GB2312" w:eastAsia="仿宋_GB2312" w:cs="仿宋_GB2312"/>
                <w:b/>
                <w:bCs/>
                <w:spacing w:val="-11"/>
                <w:sz w:val="24"/>
              </w:rPr>
            </w:pPr>
            <w:r>
              <w:rPr>
                <w:rFonts w:hint="eastAsia" w:ascii="仿宋_GB2312" w:hAnsi="仿宋_GB2312" w:eastAsia="仿宋_GB2312" w:cs="仿宋_GB2312"/>
                <w:b/>
                <w:bCs/>
                <w:sz w:val="24"/>
              </w:rPr>
              <w:t>任务</w:t>
            </w:r>
          </w:p>
        </w:tc>
        <w:tc>
          <w:tcPr>
            <w:tcW w:w="2316" w:type="dxa"/>
            <w:shd w:val="clear" w:color="auto" w:fill="DBEEF3"/>
            <w:vAlign w:val="center"/>
          </w:tcPr>
          <w:p>
            <w:pPr>
              <w:adjustRightInd w:val="0"/>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szCs w:val="24"/>
              </w:rPr>
              <w:t>年度绩效总体目标</w:t>
            </w:r>
          </w:p>
        </w:tc>
        <w:tc>
          <w:tcPr>
            <w:tcW w:w="5027" w:type="dxa"/>
            <w:shd w:val="clear" w:color="auto" w:fill="DBEEF3"/>
            <w:vAlign w:val="center"/>
          </w:tcPr>
          <w:p>
            <w:pPr>
              <w:adjustRightInd w:val="0"/>
              <w:snapToGrid w:val="0"/>
              <w:jc w:val="center"/>
              <w:rPr>
                <w:rFonts w:hint="eastAsia" w:ascii="仿宋_GB2312" w:hAnsi="仿宋_GB2312" w:eastAsia="仿宋_GB2312" w:cs="仿宋_GB2312"/>
                <w:b/>
                <w:bCs/>
                <w:sz w:val="24"/>
                <w:lang w:eastAsia="zh-CN"/>
              </w:rPr>
            </w:pPr>
            <w:r>
              <w:rPr>
                <w:rFonts w:hint="eastAsia" w:ascii="仿宋_GB2312" w:hAnsi="仿宋_GB2312" w:eastAsia="仿宋_GB2312" w:cs="仿宋_GB2312"/>
                <w:b/>
                <w:bCs/>
                <w:sz w:val="24"/>
              </w:rPr>
              <w:t>实际完成</w:t>
            </w:r>
            <w:r>
              <w:rPr>
                <w:rFonts w:hint="eastAsia" w:ascii="仿宋_GB2312" w:hAnsi="仿宋_GB2312" w:eastAsia="仿宋_GB2312" w:cs="仿宋_GB2312"/>
                <w:b/>
                <w:bCs/>
                <w:sz w:val="24"/>
                <w:lang w:eastAsia="zh-CN"/>
              </w:rPr>
              <w:t>情况</w:t>
            </w:r>
          </w:p>
        </w:tc>
        <w:tc>
          <w:tcPr>
            <w:tcW w:w="788" w:type="dxa"/>
            <w:shd w:val="clear" w:color="auto" w:fill="DBEEF3"/>
            <w:vAlign w:val="center"/>
          </w:tcPr>
          <w:p>
            <w:pPr>
              <w:adjustRightInd w:val="0"/>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13" w:type="dxa"/>
            <w:vMerge w:val="restart"/>
            <w:vAlign w:val="center"/>
          </w:tcPr>
          <w:p>
            <w:pPr>
              <w:adjustRightInd w:val="0"/>
              <w:snapToGrid w:val="0"/>
              <w:jc w:val="center"/>
              <w:rPr>
                <w:rFonts w:ascii="仿宋_GB2312" w:hAnsi="仿宋_GB2312" w:eastAsia="仿宋_GB2312" w:cs="仿宋_GB2312"/>
                <w:spacing w:val="-11"/>
                <w:sz w:val="24"/>
              </w:rPr>
            </w:pPr>
            <w:r>
              <w:rPr>
                <w:rFonts w:hint="eastAsia" w:ascii="仿宋_GB2312" w:hAnsi="仿宋_GB2312" w:eastAsia="仿宋_GB2312" w:cs="仿宋_GB2312"/>
                <w:spacing w:val="-11"/>
                <w:sz w:val="24"/>
              </w:rPr>
              <w:t>备战重大体育赛事</w:t>
            </w:r>
          </w:p>
        </w:tc>
        <w:tc>
          <w:tcPr>
            <w:tcW w:w="2316" w:type="dxa"/>
            <w:vAlign w:val="center"/>
          </w:tcPr>
          <w:p>
            <w:pPr>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1.提升备战管理，推进训练创新与科技赋能，积极参与国内外各类体育竞赛，切实提高训练备战水准。</w:t>
            </w:r>
          </w:p>
        </w:tc>
        <w:tc>
          <w:tcPr>
            <w:tcW w:w="5027" w:type="dxa"/>
            <w:vAlign w:val="center"/>
          </w:tcPr>
          <w:p>
            <w:pPr>
              <w:widowControl/>
              <w:adjustRightInd w:val="0"/>
              <w:snapToGrid w:val="0"/>
              <w:jc w:val="left"/>
              <w:rPr>
                <w:rFonts w:ascii="仿宋_GB2312" w:hAnsi="仿宋_GB2312" w:eastAsia="仿宋_GB2312" w:cs="仿宋_GB2312"/>
                <w:sz w:val="24"/>
              </w:rPr>
            </w:pPr>
            <w:r>
              <w:rPr>
                <w:rFonts w:hint="eastAsia" w:ascii="仿宋_GB2312" w:hAnsi="仿宋_GB2312" w:eastAsia="仿宋_GB2312" w:cs="仿宋_GB2312"/>
                <w:sz w:val="24"/>
              </w:rPr>
              <w:t>2023年，我省备战训练工作稳步推进，整体水平显著提升。明确备战目标任务和措施，以省直属训练中心为主体，地市、协会、俱乐部等为补充，构建备战架构。形成全运重点项目、重点队伍备战阵容，训练组织系统稳定，保持高水平。加强备战管理制度建设，制定相关文件。深入开展系统训练，强化体能和作风，发挥科技创新引领作用，推进高水平训练平台建设，提升备战实力</w:t>
            </w:r>
            <w:r>
              <w:rPr>
                <w:rFonts w:hint="eastAsia" w:ascii="仿宋_GB2312" w:hAnsi="仿宋_GB2312" w:eastAsia="仿宋_GB2312" w:cs="仿宋_GB2312"/>
                <w:sz w:val="24"/>
                <w:highlight w:val="none"/>
              </w:rPr>
              <w:t>。</w:t>
            </w:r>
            <w:r>
              <w:rPr>
                <w:rFonts w:hint="eastAsia" w:ascii="仿宋_GB2312" w:hAnsi="仿宋_GB2312" w:eastAsia="仿宋_GB2312" w:cs="仿宋_GB2312"/>
                <w:sz w:val="24"/>
                <w:highlight w:val="none"/>
                <w:lang w:val="en-US" w:eastAsia="zh-CN"/>
              </w:rPr>
              <w:t>我省在2023</w:t>
            </w:r>
            <w:r>
              <w:rPr>
                <w:rFonts w:hint="eastAsia" w:ascii="仿宋_GB2312" w:hAnsi="仿宋_GB2312" w:eastAsia="仿宋_GB2312" w:cs="仿宋_GB2312"/>
                <w:sz w:val="24"/>
                <w:highlight w:val="none"/>
              </w:rPr>
              <w:t>年度</w:t>
            </w:r>
            <w:r>
              <w:rPr>
                <w:rFonts w:hint="eastAsia" w:ascii="仿宋_GB2312" w:hAnsi="仿宋_GB2312" w:eastAsia="仿宋_GB2312" w:cs="仿宋_GB2312"/>
                <w:sz w:val="24"/>
                <w:highlight w:val="none"/>
                <w:lang w:val="en-US" w:eastAsia="zh-CN"/>
              </w:rPr>
              <w:t>全国</w:t>
            </w:r>
            <w:r>
              <w:rPr>
                <w:rFonts w:hint="eastAsia" w:ascii="仿宋_GB2312" w:hAnsi="仿宋_GB2312" w:eastAsia="仿宋_GB2312" w:cs="仿宋_GB2312"/>
                <w:sz w:val="24"/>
                <w:highlight w:val="none"/>
              </w:rPr>
              <w:t>重要一次比赛</w:t>
            </w:r>
            <w:r>
              <w:rPr>
                <w:rFonts w:hint="eastAsia" w:ascii="仿宋_GB2312" w:hAnsi="仿宋_GB2312" w:eastAsia="仿宋_GB2312" w:cs="仿宋_GB2312"/>
                <w:sz w:val="24"/>
                <w:highlight w:val="none"/>
                <w:lang w:val="en-US" w:eastAsia="zh-CN"/>
              </w:rPr>
              <w:t>中获得52枚</w:t>
            </w:r>
            <w:r>
              <w:rPr>
                <w:rFonts w:hint="eastAsia" w:ascii="仿宋_GB2312" w:hAnsi="仿宋_GB2312" w:eastAsia="仿宋_GB2312" w:cs="仿宋_GB2312"/>
                <w:sz w:val="24"/>
                <w:highlight w:val="none"/>
              </w:rPr>
              <w:t>金牌</w:t>
            </w:r>
            <w:r>
              <w:rPr>
                <w:rFonts w:hint="eastAsia" w:ascii="仿宋_GB2312" w:hAnsi="仿宋_GB2312" w:eastAsia="仿宋_GB2312" w:cs="仿宋_GB2312"/>
                <w:sz w:val="24"/>
                <w:highlight w:val="none"/>
                <w:lang w:eastAsia="zh-CN"/>
              </w:rPr>
              <w:t>。</w:t>
            </w:r>
            <w:r>
              <w:rPr>
                <w:rFonts w:hint="eastAsia" w:ascii="仿宋_GB2312" w:hAnsi="仿宋_GB2312" w:eastAsia="仿宋_GB2312" w:cs="仿宋_GB2312"/>
                <w:sz w:val="24"/>
                <w:highlight w:val="none"/>
                <w:lang w:val="en-US" w:eastAsia="zh-CN"/>
              </w:rPr>
              <w:t>第十四届全国冬季运动会（2024年2月在内蒙古举办），广东共有126名运动员参赛，在2023年先期举行的比赛项目中获得2枚金牌。</w:t>
            </w:r>
          </w:p>
        </w:tc>
        <w:tc>
          <w:tcPr>
            <w:tcW w:w="788" w:type="dxa"/>
            <w:vAlign w:val="center"/>
          </w:tcPr>
          <w:p>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13" w:type="dxa"/>
            <w:vMerge w:val="continue"/>
            <w:vAlign w:val="center"/>
          </w:tcPr>
          <w:p>
            <w:pPr>
              <w:adjustRightInd w:val="0"/>
              <w:snapToGrid w:val="0"/>
              <w:jc w:val="center"/>
              <w:rPr>
                <w:rFonts w:ascii="仿宋_GB2312" w:hAnsi="仿宋_GB2312" w:eastAsia="仿宋_GB2312" w:cs="仿宋_GB2312"/>
                <w:sz w:val="24"/>
              </w:rPr>
            </w:pPr>
          </w:p>
        </w:tc>
        <w:tc>
          <w:tcPr>
            <w:tcW w:w="2316" w:type="dxa"/>
            <w:vAlign w:val="center"/>
          </w:tcPr>
          <w:p>
            <w:pPr>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2.全力以赴备战并参加第19届亚洲运动会（杭州），实现“保持</w:t>
            </w:r>
            <w:r>
              <w:rPr>
                <w:rFonts w:hint="eastAsia" w:ascii="仿宋_GB2312" w:hAnsi="仿宋_GB2312" w:eastAsia="仿宋_GB2312" w:cs="仿宋_GB2312"/>
                <w:sz w:val="24"/>
                <w:lang w:eastAsia="zh-CN"/>
              </w:rPr>
              <w:t>领先</w:t>
            </w:r>
            <w:r>
              <w:rPr>
                <w:rFonts w:hint="eastAsia" w:ascii="仿宋_GB2312" w:hAnsi="仿宋_GB2312" w:eastAsia="仿宋_GB2312" w:cs="仿宋_GB2312"/>
                <w:sz w:val="24"/>
              </w:rPr>
              <w:t>优势，为国家、省份争光”的任务目标。</w:t>
            </w:r>
          </w:p>
        </w:tc>
        <w:tc>
          <w:tcPr>
            <w:tcW w:w="5027" w:type="dxa"/>
            <w:vAlign w:val="center"/>
          </w:tcPr>
          <w:p>
            <w:pPr>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19届亚洲运动会，我省共有93名运动员参加了27个大项33个分项78个小项的比赛，获得30枚金牌、17枚银牌、8枚铜牌，打破1项世界纪录、3项亚洲纪录和3项赛会纪录，参赛人数、项数和成绩均位居全国前列，顺利实现了“保持领先优势，为国、为省争光”的目标任务。</w:t>
            </w:r>
          </w:p>
        </w:tc>
        <w:tc>
          <w:tcPr>
            <w:tcW w:w="788" w:type="dxa"/>
            <w:vAlign w:val="center"/>
          </w:tcPr>
          <w:p>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13" w:type="dxa"/>
            <w:vMerge w:val="restart"/>
            <w:vAlign w:val="center"/>
          </w:tcPr>
          <w:p>
            <w:pPr>
              <w:adjustRightInd w:val="0"/>
              <w:snapToGrid w:val="0"/>
              <w:jc w:val="center"/>
              <w:rPr>
                <w:rFonts w:ascii="仿宋_GB2312" w:hAnsi="仿宋_GB2312" w:eastAsia="仿宋_GB2312" w:cs="仿宋_GB2312"/>
                <w:spacing w:val="-11"/>
                <w:sz w:val="24"/>
              </w:rPr>
            </w:pPr>
            <w:r>
              <w:rPr>
                <w:rFonts w:hint="eastAsia" w:ascii="仿宋_GB2312" w:hAnsi="仿宋_GB2312" w:eastAsia="仿宋_GB2312" w:cs="仿宋_GB2312"/>
                <w:spacing w:val="-11"/>
                <w:sz w:val="24"/>
              </w:rPr>
              <w:t>资助承办竞技类体育赛事</w:t>
            </w:r>
          </w:p>
        </w:tc>
        <w:tc>
          <w:tcPr>
            <w:tcW w:w="2316" w:type="dxa"/>
            <w:vAlign w:val="center"/>
          </w:tcPr>
          <w:p>
            <w:pPr>
              <w:adjustRightInd w:val="0"/>
              <w:snapToGrid w:val="0"/>
              <w:jc w:val="left"/>
              <w:rPr>
                <w:rFonts w:ascii="仿宋_GB2312" w:hAnsi="仿宋_GB2312" w:eastAsia="仿宋_GB2312" w:cs="仿宋_GB2312"/>
                <w:sz w:val="24"/>
              </w:rPr>
            </w:pPr>
            <w:r>
              <w:rPr>
                <w:rFonts w:hint="eastAsia" w:ascii="仿宋_GB2312" w:hAnsi="仿宋_GB2312" w:eastAsia="仿宋_GB2312" w:cs="仿宋_GB2312"/>
                <w:sz w:val="24"/>
              </w:rPr>
              <w:t>1.精心组织和承办国内外赛事，确保流程顺畅安全。</w:t>
            </w:r>
          </w:p>
        </w:tc>
        <w:tc>
          <w:tcPr>
            <w:tcW w:w="5027" w:type="dxa"/>
            <w:vAlign w:val="center"/>
          </w:tcPr>
          <w:p>
            <w:pPr>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2023年度完成群众体育赛事102项、省级青少年比赛65项次、大湾区系列赛74项、全国及以上赛事20项次。</w:t>
            </w:r>
          </w:p>
        </w:tc>
        <w:tc>
          <w:tcPr>
            <w:tcW w:w="788" w:type="dxa"/>
            <w:vAlign w:val="center"/>
          </w:tcPr>
          <w:p>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13" w:type="dxa"/>
            <w:vMerge w:val="continue"/>
            <w:vAlign w:val="center"/>
          </w:tcPr>
          <w:p>
            <w:pPr>
              <w:adjustRightInd w:val="0"/>
              <w:snapToGrid w:val="0"/>
              <w:jc w:val="center"/>
              <w:rPr>
                <w:rFonts w:ascii="仿宋_GB2312" w:hAnsi="仿宋_GB2312" w:eastAsia="仿宋_GB2312" w:cs="仿宋_GB2312"/>
                <w:sz w:val="24"/>
              </w:rPr>
            </w:pPr>
          </w:p>
        </w:tc>
        <w:tc>
          <w:tcPr>
            <w:tcW w:w="2316" w:type="dxa"/>
            <w:vAlign w:val="center"/>
          </w:tcPr>
          <w:p>
            <w:pPr>
              <w:adjustRightInd w:val="0"/>
              <w:snapToGrid w:val="0"/>
              <w:jc w:val="left"/>
              <w:rPr>
                <w:rFonts w:ascii="仿宋_GB2312" w:hAnsi="仿宋_GB2312" w:eastAsia="仿宋_GB2312" w:cs="仿宋_GB2312"/>
                <w:sz w:val="24"/>
              </w:rPr>
            </w:pPr>
            <w:r>
              <w:rPr>
                <w:rFonts w:hint="eastAsia" w:ascii="仿宋_GB2312" w:hAnsi="仿宋_GB2312" w:eastAsia="仿宋_GB2312" w:cs="仿宋_GB2312"/>
                <w:sz w:val="24"/>
              </w:rPr>
              <w:t>2.加强对各地市业务指导，推动体育事业健康发展。</w:t>
            </w:r>
          </w:p>
        </w:tc>
        <w:tc>
          <w:tcPr>
            <w:tcW w:w="5027" w:type="dxa"/>
            <w:vAlign w:val="center"/>
          </w:tcPr>
          <w:p>
            <w:pPr>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指导</w:t>
            </w:r>
            <w:r>
              <w:rPr>
                <w:rFonts w:ascii="仿宋_GB2312" w:hAnsi="仿宋_GB2312" w:eastAsia="仿宋_GB2312" w:cs="仿宋_GB2312"/>
                <w:color w:val="auto"/>
                <w:sz w:val="24"/>
              </w:rPr>
              <w:t>8个</w:t>
            </w:r>
            <w:r>
              <w:rPr>
                <w:rFonts w:hint="eastAsia" w:ascii="仿宋_GB2312" w:hAnsi="仿宋_GB2312" w:eastAsia="仿宋_GB2312" w:cs="仿宋_GB2312"/>
                <w:sz w:val="24"/>
              </w:rPr>
              <w:t>地市完成2023年全国及以上赛事的各项工作，促进体育事业发展。</w:t>
            </w:r>
          </w:p>
        </w:tc>
        <w:tc>
          <w:tcPr>
            <w:tcW w:w="788" w:type="dxa"/>
            <w:vAlign w:val="center"/>
          </w:tcPr>
          <w:p>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13" w:type="dxa"/>
            <w:vMerge w:val="continue"/>
            <w:vAlign w:val="center"/>
          </w:tcPr>
          <w:p>
            <w:pPr>
              <w:adjustRightInd w:val="0"/>
              <w:snapToGrid w:val="0"/>
              <w:jc w:val="center"/>
              <w:rPr>
                <w:rFonts w:ascii="仿宋_GB2312" w:hAnsi="仿宋_GB2312" w:eastAsia="仿宋_GB2312" w:cs="仿宋_GB2312"/>
                <w:sz w:val="24"/>
              </w:rPr>
            </w:pPr>
          </w:p>
        </w:tc>
        <w:tc>
          <w:tcPr>
            <w:tcW w:w="2316" w:type="dxa"/>
            <w:vAlign w:val="center"/>
          </w:tcPr>
          <w:p>
            <w:pPr>
              <w:adjustRightInd w:val="0"/>
              <w:snapToGrid w:val="0"/>
              <w:jc w:val="left"/>
              <w:rPr>
                <w:rFonts w:ascii="仿宋_GB2312" w:hAnsi="仿宋_GB2312" w:eastAsia="仿宋_GB2312" w:cs="仿宋_GB2312"/>
                <w:sz w:val="24"/>
              </w:rPr>
            </w:pPr>
            <w:r>
              <w:rPr>
                <w:rFonts w:hint="eastAsia" w:ascii="仿宋_GB2312" w:hAnsi="仿宋_GB2312" w:eastAsia="仿宋_GB2312" w:cs="仿宋_GB2312"/>
                <w:sz w:val="24"/>
              </w:rPr>
              <w:t>3.推进粤港澳大湾区体育事业协同发展，举办系列赛事活动，培养后备人才。</w:t>
            </w:r>
          </w:p>
        </w:tc>
        <w:tc>
          <w:tcPr>
            <w:tcW w:w="5027" w:type="dxa"/>
            <w:vAlign w:val="center"/>
          </w:tcPr>
          <w:p>
            <w:pPr>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开展大湾区系列赛16项，推进粤港澳大湾区体育事业发展，举办系列赛事，培养后备力量。</w:t>
            </w:r>
          </w:p>
        </w:tc>
        <w:tc>
          <w:tcPr>
            <w:tcW w:w="788" w:type="dxa"/>
            <w:vAlign w:val="center"/>
          </w:tcPr>
          <w:p>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13" w:type="dxa"/>
            <w:vMerge w:val="continue"/>
            <w:vAlign w:val="center"/>
          </w:tcPr>
          <w:p>
            <w:pPr>
              <w:adjustRightInd w:val="0"/>
              <w:snapToGrid w:val="0"/>
              <w:jc w:val="center"/>
              <w:rPr>
                <w:rFonts w:ascii="仿宋_GB2312" w:hAnsi="仿宋_GB2312" w:eastAsia="仿宋_GB2312" w:cs="仿宋_GB2312"/>
                <w:sz w:val="24"/>
              </w:rPr>
            </w:pPr>
          </w:p>
        </w:tc>
        <w:tc>
          <w:tcPr>
            <w:tcW w:w="2316" w:type="dxa"/>
            <w:vAlign w:val="center"/>
          </w:tcPr>
          <w:p>
            <w:pPr>
              <w:adjustRightInd w:val="0"/>
              <w:snapToGrid w:val="0"/>
              <w:jc w:val="left"/>
              <w:rPr>
                <w:rFonts w:ascii="仿宋_GB2312" w:hAnsi="仿宋_GB2312" w:eastAsia="仿宋_GB2312" w:cs="仿宋_GB2312"/>
                <w:sz w:val="24"/>
              </w:rPr>
            </w:pPr>
            <w:r>
              <w:rPr>
                <w:rFonts w:hint="eastAsia" w:ascii="仿宋_GB2312" w:hAnsi="仿宋_GB2312" w:eastAsia="仿宋_GB2312" w:cs="仿宋_GB2312"/>
                <w:sz w:val="24"/>
              </w:rPr>
              <w:t>4.完成全运会场馆项目建议书、研究报告编制及立项，制定并执行建设标准和运行设计标准，提供专业咨询服务。</w:t>
            </w:r>
          </w:p>
        </w:tc>
        <w:tc>
          <w:tcPr>
            <w:tcW w:w="5027" w:type="dxa"/>
            <w:vAlign w:val="center"/>
          </w:tcPr>
          <w:p>
            <w:pPr>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扎实推进全运会省属场馆项目立项前期工作，高质量完成可研报告编制，积极联系代建、规划、水务、环保、交通等有关部门，统筹协调解决场馆建设有关问题，并认真组织开展《场馆建设要求》和《运行设计指南》编制工作。</w:t>
            </w:r>
          </w:p>
          <w:p>
            <w:pPr>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按照“一馆一策，一馆一案”的工作要求，完成全省108个场馆数据库建档工作。广东体育馆及副馆等5个省属场馆维修改造工程项目完成立项批复。制定十五运会广东赛区竞技体育项目技术标准文件。</w:t>
            </w:r>
          </w:p>
        </w:tc>
        <w:tc>
          <w:tcPr>
            <w:tcW w:w="788" w:type="dxa"/>
            <w:vAlign w:val="center"/>
          </w:tcPr>
          <w:p>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13" w:type="dxa"/>
            <w:vMerge w:val="continue"/>
            <w:vAlign w:val="center"/>
          </w:tcPr>
          <w:p>
            <w:pPr>
              <w:adjustRightInd w:val="0"/>
              <w:snapToGrid w:val="0"/>
              <w:jc w:val="center"/>
              <w:rPr>
                <w:rFonts w:ascii="仿宋_GB2312" w:hAnsi="仿宋_GB2312" w:eastAsia="仿宋_GB2312" w:cs="仿宋_GB2312"/>
                <w:sz w:val="24"/>
              </w:rPr>
            </w:pPr>
          </w:p>
        </w:tc>
        <w:tc>
          <w:tcPr>
            <w:tcW w:w="2316" w:type="dxa"/>
            <w:vAlign w:val="center"/>
          </w:tcPr>
          <w:p>
            <w:pPr>
              <w:adjustRightInd w:val="0"/>
              <w:snapToGrid w:val="0"/>
              <w:jc w:val="left"/>
              <w:rPr>
                <w:rFonts w:ascii="仿宋_GB2312" w:hAnsi="仿宋_GB2312" w:eastAsia="仿宋_GB2312" w:cs="仿宋_GB2312"/>
                <w:sz w:val="24"/>
              </w:rPr>
            </w:pPr>
            <w:r>
              <w:rPr>
                <w:rFonts w:hint="eastAsia" w:ascii="仿宋_GB2312" w:hAnsi="仿宋_GB2312" w:eastAsia="仿宋_GB2312" w:cs="仿宋_GB2312"/>
                <w:sz w:val="24"/>
              </w:rPr>
              <w:t>5.支持第十五届全运会筹委会队伍建设，协助筹措经费、开展培训；制定落实筹备计划，与媒体合作宣传全运会。</w:t>
            </w:r>
          </w:p>
        </w:tc>
        <w:tc>
          <w:tcPr>
            <w:tcW w:w="5027" w:type="dxa"/>
            <w:vAlign w:val="center"/>
          </w:tcPr>
          <w:p>
            <w:pPr>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印发《第十五届全国运动会和全国第十二届残疾人运动会暨第九届特殊奥林匹克运动会广东赛区筹备工作总体方案》，成立第十五届全运会广东赛区筹备委员会和执行委员会。解决十五运会省执委会集中办公场所问题，选派41名干部参与执委会工作，初步进入实体化运作阶段。印发执委会章程、工作规则、会议制度等规章制度，初步构建制度体系。</w:t>
            </w:r>
          </w:p>
          <w:p>
            <w:pPr>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与新华社合作搭建宣传平台，与广东广播电视台合作制作电视媒体宣传片。与广东省记者协会合作，加强信息策划和传播，与平面媒体合作投放栏目，扩大全运会在国内外的影响力。</w:t>
            </w:r>
          </w:p>
        </w:tc>
        <w:tc>
          <w:tcPr>
            <w:tcW w:w="788" w:type="dxa"/>
            <w:vAlign w:val="center"/>
          </w:tcPr>
          <w:p>
            <w:pPr>
              <w:adjustRightInd w:val="0"/>
              <w:snapToGrid w:val="0"/>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13" w:type="dxa"/>
            <w:vMerge w:val="continue"/>
            <w:vAlign w:val="center"/>
          </w:tcPr>
          <w:p>
            <w:pPr>
              <w:adjustRightInd w:val="0"/>
              <w:snapToGrid w:val="0"/>
              <w:jc w:val="center"/>
              <w:rPr>
                <w:rFonts w:ascii="仿宋_GB2312" w:hAnsi="仿宋_GB2312" w:eastAsia="仿宋_GB2312" w:cs="仿宋_GB2312"/>
                <w:sz w:val="24"/>
              </w:rPr>
            </w:pPr>
          </w:p>
        </w:tc>
        <w:tc>
          <w:tcPr>
            <w:tcW w:w="2316" w:type="dxa"/>
            <w:vAlign w:val="center"/>
          </w:tcPr>
          <w:p>
            <w:pPr>
              <w:adjustRightInd w:val="0"/>
              <w:snapToGrid w:val="0"/>
              <w:jc w:val="left"/>
              <w:rPr>
                <w:rFonts w:ascii="仿宋_GB2312" w:hAnsi="仿宋_GB2312" w:eastAsia="仿宋_GB2312" w:cs="仿宋_GB2312"/>
                <w:sz w:val="24"/>
              </w:rPr>
            </w:pPr>
            <w:r>
              <w:rPr>
                <w:rFonts w:hint="eastAsia" w:ascii="仿宋_GB2312" w:hAnsi="仿宋_GB2312" w:eastAsia="仿宋_GB2312" w:cs="仿宋_GB2312"/>
                <w:sz w:val="24"/>
              </w:rPr>
              <w:t>6.完成筹委会办公场所租赁，优化工作流程，提升效率。</w:t>
            </w:r>
          </w:p>
        </w:tc>
        <w:tc>
          <w:tcPr>
            <w:tcW w:w="5027" w:type="dxa"/>
            <w:vAlign w:val="center"/>
          </w:tcPr>
          <w:p>
            <w:pPr>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积极向国家体育总局请示汇报，畅通国家层面的沟通汇报机制。积极落实竞技体育项目布局，坚持“广东为主，港澳优先”，申请广东承办30个大项、350个小项的比赛，由广州承办开幕式、深圳承办闭幕式，开幕式在省奥林匹克体育中心举办。</w:t>
            </w:r>
          </w:p>
        </w:tc>
        <w:tc>
          <w:tcPr>
            <w:tcW w:w="788" w:type="dxa"/>
            <w:vAlign w:val="center"/>
          </w:tcPr>
          <w:p>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13" w:type="dxa"/>
            <w:vMerge w:val="restart"/>
            <w:vAlign w:val="center"/>
          </w:tcPr>
          <w:p>
            <w:pPr>
              <w:adjustRightInd w:val="0"/>
              <w:snapToGrid w:val="0"/>
              <w:jc w:val="center"/>
              <w:rPr>
                <w:rFonts w:ascii="仿宋_GB2312" w:hAnsi="仿宋_GB2312" w:eastAsia="仿宋_GB2312" w:cs="仿宋_GB2312"/>
                <w:spacing w:val="-11"/>
                <w:sz w:val="24"/>
              </w:rPr>
            </w:pPr>
            <w:r>
              <w:rPr>
                <w:rFonts w:hint="eastAsia" w:ascii="仿宋_GB2312" w:hAnsi="仿宋_GB2312" w:eastAsia="仿宋_GB2312" w:cs="仿宋_GB2312"/>
                <w:spacing w:val="-11"/>
                <w:sz w:val="24"/>
              </w:rPr>
              <w:t>运动队保障</w:t>
            </w:r>
          </w:p>
        </w:tc>
        <w:tc>
          <w:tcPr>
            <w:tcW w:w="2316" w:type="dxa"/>
            <w:shd w:val="clear" w:color="auto" w:fill="auto"/>
            <w:vAlign w:val="center"/>
          </w:tcPr>
          <w:p>
            <w:pPr>
              <w:adjustRightInd w:val="0"/>
              <w:snapToGrid w:val="0"/>
              <w:jc w:val="left"/>
              <w:rPr>
                <w:rFonts w:ascii="仿宋_GB2312" w:hAnsi="仿宋_GB2312" w:eastAsia="仿宋_GB2312" w:cs="仿宋_GB2312"/>
                <w:color w:val="auto"/>
                <w:sz w:val="24"/>
              </w:rPr>
            </w:pPr>
            <w:r>
              <w:rPr>
                <w:rFonts w:hint="eastAsia" w:ascii="仿宋_GB2312" w:hAnsi="仿宋_GB2312" w:eastAsia="仿宋_GB2312" w:cs="仿宋_GB2312"/>
                <w:color w:val="auto"/>
                <w:sz w:val="24"/>
              </w:rPr>
              <w:t>1.培训退役运动员，提高专业水平和就业能力。</w:t>
            </w:r>
          </w:p>
        </w:tc>
        <w:tc>
          <w:tcPr>
            <w:tcW w:w="5027" w:type="dxa"/>
            <w:shd w:val="clear" w:color="auto" w:fill="auto"/>
            <w:vAlign w:val="center"/>
          </w:tcPr>
          <w:p>
            <w:pPr>
              <w:adjustRightInd w:val="0"/>
              <w:snapToGrid w:val="0"/>
              <w:rPr>
                <w:rFonts w:ascii="仿宋_GB2312" w:hAnsi="仿宋_GB2312" w:eastAsia="仿宋_GB2312" w:cs="仿宋_GB2312"/>
                <w:color w:val="auto"/>
                <w:sz w:val="24"/>
              </w:rPr>
            </w:pPr>
            <w:r>
              <w:rPr>
                <w:rFonts w:hint="eastAsia" w:ascii="仿宋_GB2312" w:hAnsi="仿宋_GB2312" w:eastAsia="仿宋_GB2312" w:cs="仿宋_GB2312"/>
                <w:color w:val="auto"/>
                <w:sz w:val="24"/>
              </w:rPr>
              <w:t>举办退役运动员转型中学教师资格培训班1次，发放170名退役运动员自主择业经济补偿金，自主择业率84.58%，提高专业水平和就业能力。</w:t>
            </w:r>
          </w:p>
        </w:tc>
        <w:tc>
          <w:tcPr>
            <w:tcW w:w="788" w:type="dxa"/>
            <w:vAlign w:val="center"/>
          </w:tcPr>
          <w:p>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13" w:type="dxa"/>
            <w:vMerge w:val="continue"/>
            <w:vAlign w:val="center"/>
          </w:tcPr>
          <w:p>
            <w:pPr>
              <w:adjustRightInd w:val="0"/>
              <w:snapToGrid w:val="0"/>
              <w:jc w:val="center"/>
              <w:rPr>
                <w:rFonts w:ascii="仿宋_GB2312" w:hAnsi="仿宋_GB2312" w:eastAsia="仿宋_GB2312" w:cs="仿宋_GB2312"/>
                <w:spacing w:val="-11"/>
                <w:sz w:val="24"/>
              </w:rPr>
            </w:pPr>
          </w:p>
        </w:tc>
        <w:tc>
          <w:tcPr>
            <w:tcW w:w="2316" w:type="dxa"/>
            <w:shd w:val="clear" w:color="auto" w:fill="auto"/>
            <w:vAlign w:val="center"/>
          </w:tcPr>
          <w:p>
            <w:pPr>
              <w:adjustRightInd w:val="0"/>
              <w:snapToGrid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2.开展二沙中心宿舍和室外管网等配套工程，推进田径场、网球场建设，完善基础设施。</w:t>
            </w:r>
          </w:p>
        </w:tc>
        <w:tc>
          <w:tcPr>
            <w:tcW w:w="5027" w:type="dxa"/>
            <w:shd w:val="clear" w:color="auto" w:fill="auto"/>
            <w:vAlign w:val="center"/>
          </w:tcPr>
          <w:p>
            <w:pPr>
              <w:adjustRightInd w:val="0"/>
              <w:snapToGrid w:val="0"/>
              <w:ind w:left="0" w:firstLine="0" w:firstLineChars="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沙宿舍楼新建工程按计划于2023年12月完成施工招标并于12月19日签订施工合同，完成场地移交和临时设施搭设；二沙中心室外管网及配套工程（含雨污分流）项目按计划于2023年12月14日完成施工招标并于12月签订施工合同；网球场建设项目于2023年11月开工；田径场项目正在招标中。</w:t>
            </w:r>
          </w:p>
        </w:tc>
        <w:tc>
          <w:tcPr>
            <w:tcW w:w="788" w:type="dxa"/>
            <w:vAlign w:val="center"/>
          </w:tcPr>
          <w:p>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完成65%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13" w:type="dxa"/>
            <w:vMerge w:val="continue"/>
            <w:vAlign w:val="center"/>
          </w:tcPr>
          <w:p>
            <w:pPr>
              <w:adjustRightInd w:val="0"/>
              <w:snapToGrid w:val="0"/>
              <w:jc w:val="center"/>
              <w:rPr>
                <w:rFonts w:ascii="仿宋_GB2312" w:hAnsi="仿宋_GB2312" w:eastAsia="仿宋_GB2312" w:cs="仿宋_GB2312"/>
                <w:sz w:val="24"/>
              </w:rPr>
            </w:pPr>
          </w:p>
        </w:tc>
        <w:tc>
          <w:tcPr>
            <w:tcW w:w="2316" w:type="dxa"/>
            <w:shd w:val="clear" w:color="auto" w:fill="auto"/>
            <w:vAlign w:val="center"/>
          </w:tcPr>
          <w:p>
            <w:pPr>
              <w:adjustRightInd w:val="0"/>
              <w:snapToGrid w:val="0"/>
              <w:rPr>
                <w:rFonts w:ascii="仿宋_GB2312" w:hAnsi="仿宋_GB2312" w:eastAsia="仿宋_GB2312" w:cs="仿宋_GB2312"/>
                <w:color w:val="auto"/>
                <w:spacing w:val="-6"/>
                <w:sz w:val="24"/>
                <w:highlight w:val="none"/>
              </w:rPr>
            </w:pPr>
            <w:r>
              <w:rPr>
                <w:rFonts w:hint="eastAsia" w:ascii="仿宋_GB2312" w:hAnsi="仿宋_GB2312" w:eastAsia="仿宋_GB2312" w:cs="仿宋_GB2312"/>
                <w:color w:val="auto"/>
                <w:sz w:val="24"/>
                <w:highlight w:val="none"/>
              </w:rPr>
              <w:t>3.完成黄村体育训练中心教学楼、食堂、宿舍维修，重竞技馆副馆项目结算。</w:t>
            </w:r>
          </w:p>
        </w:tc>
        <w:tc>
          <w:tcPr>
            <w:tcW w:w="5027" w:type="dxa"/>
            <w:shd w:val="clear" w:color="auto" w:fill="auto"/>
            <w:vAlign w:val="center"/>
          </w:tcPr>
          <w:p>
            <w:pPr>
              <w:adjustRightInd w:val="0"/>
              <w:snapToGrid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2023年12月完成黄村体育训练中心教学楼、食堂、宿舍维修，2023年6月16日完成重竞技馆副馆项目结算。</w:t>
            </w:r>
          </w:p>
        </w:tc>
        <w:tc>
          <w:tcPr>
            <w:tcW w:w="788" w:type="dxa"/>
            <w:vAlign w:val="center"/>
          </w:tcPr>
          <w:p>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13" w:type="dxa"/>
            <w:vMerge w:val="continue"/>
            <w:vAlign w:val="center"/>
          </w:tcPr>
          <w:p>
            <w:pPr>
              <w:adjustRightInd w:val="0"/>
              <w:snapToGrid w:val="0"/>
              <w:jc w:val="center"/>
              <w:rPr>
                <w:rFonts w:ascii="仿宋_GB2312" w:hAnsi="仿宋_GB2312" w:eastAsia="仿宋_GB2312" w:cs="仿宋_GB2312"/>
                <w:sz w:val="24"/>
              </w:rPr>
            </w:pPr>
          </w:p>
        </w:tc>
        <w:tc>
          <w:tcPr>
            <w:tcW w:w="2316" w:type="dxa"/>
            <w:shd w:val="clear" w:color="auto" w:fill="auto"/>
            <w:vAlign w:val="center"/>
          </w:tcPr>
          <w:p>
            <w:pPr>
              <w:adjustRightInd w:val="0"/>
              <w:snapToGrid w:val="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4.船艇中心黄塘激流回旋项目竣工。</w:t>
            </w:r>
          </w:p>
        </w:tc>
        <w:tc>
          <w:tcPr>
            <w:tcW w:w="5027" w:type="dxa"/>
            <w:shd w:val="clear" w:color="auto" w:fill="auto"/>
            <w:vAlign w:val="center"/>
          </w:tcPr>
          <w:p>
            <w:pPr>
              <w:adjustRightInd w:val="0"/>
              <w:snapToGrid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2023年1月船艇中心黄塘激流回旋项目通过竣工验收。</w:t>
            </w:r>
          </w:p>
        </w:tc>
        <w:tc>
          <w:tcPr>
            <w:tcW w:w="788" w:type="dxa"/>
            <w:vAlign w:val="center"/>
          </w:tcPr>
          <w:p>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13" w:type="dxa"/>
            <w:vMerge w:val="continue"/>
            <w:vAlign w:val="center"/>
          </w:tcPr>
          <w:p>
            <w:pPr>
              <w:adjustRightInd w:val="0"/>
              <w:snapToGrid w:val="0"/>
              <w:jc w:val="center"/>
              <w:rPr>
                <w:rFonts w:ascii="仿宋_GB2312" w:hAnsi="仿宋_GB2312" w:eastAsia="仿宋_GB2312" w:cs="仿宋_GB2312"/>
                <w:sz w:val="24"/>
              </w:rPr>
            </w:pPr>
          </w:p>
        </w:tc>
        <w:tc>
          <w:tcPr>
            <w:tcW w:w="2316" w:type="dxa"/>
            <w:shd w:val="clear" w:color="auto" w:fill="auto"/>
            <w:vAlign w:val="center"/>
          </w:tcPr>
          <w:p>
            <w:pPr>
              <w:adjustRightInd w:val="0"/>
              <w:snapToGrid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5.完成各基地零星小额维修项目，改善运动队训练和生活条件。</w:t>
            </w:r>
          </w:p>
        </w:tc>
        <w:tc>
          <w:tcPr>
            <w:tcW w:w="5027" w:type="dxa"/>
            <w:shd w:val="clear" w:color="auto" w:fill="auto"/>
            <w:vAlign w:val="center"/>
          </w:tcPr>
          <w:p>
            <w:pPr>
              <w:adjustRightInd w:val="0"/>
              <w:snapToGrid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完成2023年度零星维修项目的采购、实施及工程结算，消除生产生活安全隐患，为运动队备战训练创造更好的训练生活设施条件。</w:t>
            </w:r>
          </w:p>
        </w:tc>
        <w:tc>
          <w:tcPr>
            <w:tcW w:w="788" w:type="dxa"/>
            <w:vAlign w:val="center"/>
          </w:tcPr>
          <w:p>
            <w:pPr>
              <w:adjustRightInd w:val="0"/>
              <w:snapToGrid w:val="0"/>
              <w:jc w:val="center"/>
              <w:rPr>
                <w:rFonts w:ascii="仿宋_GB2312" w:hAnsi="仿宋_GB2312" w:eastAsia="仿宋_GB2312" w:cs="仿宋_GB2312"/>
                <w:sz w:val="24"/>
              </w:rPr>
            </w:pPr>
            <w:r>
              <w:rPr>
                <w:rFonts w:hint="eastAsia" w:ascii="仿宋_GB2312" w:hAnsi="仿宋_GB2312" w:eastAsia="仿宋_GB2312" w:cs="仿宋_GB2312"/>
                <w:sz w:val="24"/>
              </w:rPr>
              <w:t>完成</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642" w:firstLineChars="200"/>
        <w:textAlignment w:val="auto"/>
        <w:rPr>
          <w:rFonts w:ascii="仿宋_GB2312" w:eastAsia="仿宋_GB2312"/>
          <w:b/>
          <w:bCs/>
          <w:sz w:val="32"/>
          <w:szCs w:val="32"/>
        </w:rPr>
      </w:pPr>
      <w:r>
        <w:rPr>
          <w:rFonts w:hint="eastAsia" w:ascii="仿宋_GB2312" w:eastAsia="仿宋_GB2312"/>
          <w:b/>
          <w:bCs/>
          <w:sz w:val="32"/>
          <w:szCs w:val="32"/>
        </w:rPr>
        <w:t>（2）绩效产出、效益指标完成情况</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截至2023年12月31日，竞技体育项目绩效指标完成情况良好，该项目各政策任务绩效指标完成情况见表2-4所示。项目各政策任务的指标分析见附件1。</w:t>
      </w:r>
    </w:p>
    <w:p>
      <w:pPr>
        <w:spacing w:line="360" w:lineRule="auto"/>
        <w:jc w:val="center"/>
      </w:pPr>
      <w:r>
        <w:rPr>
          <w:rFonts w:hint="eastAsia" w:ascii="黑体" w:hAnsi="黑体" w:eastAsia="黑体" w:cs="黑体"/>
          <w:sz w:val="28"/>
          <w:szCs w:val="28"/>
        </w:rPr>
        <w:t>表2-4 项目绩效指标完成情况表</w:t>
      </w:r>
    </w:p>
    <w:tbl>
      <w:tblPr>
        <w:tblStyle w:val="9"/>
        <w:tblW w:w="8844" w:type="dxa"/>
        <w:jc w:val="center"/>
        <w:tblLayout w:type="fixed"/>
        <w:tblCellMar>
          <w:top w:w="0" w:type="dxa"/>
          <w:left w:w="108" w:type="dxa"/>
          <w:bottom w:w="0" w:type="dxa"/>
          <w:right w:w="108" w:type="dxa"/>
        </w:tblCellMar>
      </w:tblPr>
      <w:tblGrid>
        <w:gridCol w:w="854"/>
        <w:gridCol w:w="758"/>
        <w:gridCol w:w="780"/>
        <w:gridCol w:w="2411"/>
        <w:gridCol w:w="1585"/>
        <w:gridCol w:w="1541"/>
        <w:gridCol w:w="915"/>
      </w:tblGrid>
      <w:tr>
        <w:trPr>
          <w:trHeight w:val="567" w:hRule="atLeast"/>
          <w:jc w:val="center"/>
        </w:trPr>
        <w:tc>
          <w:tcPr>
            <w:tcW w:w="854" w:type="dxa"/>
            <w:tcBorders>
              <w:top w:val="single" w:color="000000" w:sz="4" w:space="0"/>
              <w:left w:val="single" w:color="000000" w:sz="4" w:space="0"/>
              <w:bottom w:val="single" w:color="000000" w:sz="4" w:space="0"/>
              <w:right w:val="single" w:color="000000" w:sz="4" w:space="0"/>
            </w:tcBorders>
            <w:shd w:val="clear" w:color="auto" w:fill="DBEEF3"/>
            <w:vAlign w:val="center"/>
          </w:tcPr>
          <w:p>
            <w:pPr>
              <w:widowControl/>
              <w:adjustRightInd w:val="0"/>
              <w:snapToGrid w:val="0"/>
              <w:jc w:val="center"/>
              <w:textAlignment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rPr>
              <w:t>政策任务</w:t>
            </w:r>
          </w:p>
        </w:tc>
        <w:tc>
          <w:tcPr>
            <w:tcW w:w="758" w:type="dxa"/>
            <w:tcBorders>
              <w:top w:val="single" w:color="000000" w:sz="4" w:space="0"/>
              <w:left w:val="single" w:color="000000" w:sz="4" w:space="0"/>
              <w:bottom w:val="single" w:color="000000" w:sz="4" w:space="0"/>
              <w:right w:val="single" w:color="000000" w:sz="4" w:space="0"/>
            </w:tcBorders>
            <w:shd w:val="clear" w:color="auto" w:fill="DBEEF3"/>
            <w:vAlign w:val="center"/>
          </w:tcPr>
          <w:p>
            <w:pPr>
              <w:widowControl/>
              <w:adjustRightInd w:val="0"/>
              <w:snapToGrid w:val="0"/>
              <w:jc w:val="center"/>
              <w:textAlignment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rPr>
              <w:t>一级指标</w:t>
            </w:r>
          </w:p>
        </w:tc>
        <w:tc>
          <w:tcPr>
            <w:tcW w:w="780" w:type="dxa"/>
            <w:tcBorders>
              <w:top w:val="single" w:color="000000" w:sz="4" w:space="0"/>
              <w:left w:val="single" w:color="000000" w:sz="4" w:space="0"/>
              <w:bottom w:val="single" w:color="000000" w:sz="4" w:space="0"/>
              <w:right w:val="single" w:color="000000" w:sz="4" w:space="0"/>
            </w:tcBorders>
            <w:shd w:val="clear" w:color="auto" w:fill="DBEEF3"/>
            <w:vAlign w:val="center"/>
          </w:tcPr>
          <w:p>
            <w:pPr>
              <w:widowControl/>
              <w:adjustRightInd w:val="0"/>
              <w:snapToGrid w:val="0"/>
              <w:jc w:val="center"/>
              <w:textAlignment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rPr>
              <w:t>二级指标</w:t>
            </w:r>
          </w:p>
        </w:tc>
        <w:tc>
          <w:tcPr>
            <w:tcW w:w="2411" w:type="dxa"/>
            <w:tcBorders>
              <w:top w:val="single" w:color="000000" w:sz="4" w:space="0"/>
              <w:left w:val="single" w:color="000000" w:sz="4" w:space="0"/>
              <w:bottom w:val="single" w:color="000000" w:sz="4" w:space="0"/>
              <w:right w:val="single" w:color="000000" w:sz="4" w:space="0"/>
            </w:tcBorders>
            <w:shd w:val="clear" w:color="auto" w:fill="DBEEF3"/>
            <w:vAlign w:val="center"/>
          </w:tcPr>
          <w:p>
            <w:pPr>
              <w:widowControl/>
              <w:adjustRightInd w:val="0"/>
              <w:snapToGrid w:val="0"/>
              <w:jc w:val="center"/>
              <w:textAlignment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rPr>
              <w:t>三级指标</w:t>
            </w:r>
          </w:p>
        </w:tc>
        <w:tc>
          <w:tcPr>
            <w:tcW w:w="1585" w:type="dxa"/>
            <w:tcBorders>
              <w:top w:val="single" w:color="000000" w:sz="4" w:space="0"/>
              <w:left w:val="single" w:color="000000" w:sz="4" w:space="0"/>
              <w:bottom w:val="single" w:color="000000" w:sz="4" w:space="0"/>
              <w:right w:val="single" w:color="000000" w:sz="4" w:space="0"/>
            </w:tcBorders>
            <w:shd w:val="clear" w:color="auto" w:fill="DBEEF3"/>
            <w:vAlign w:val="center"/>
          </w:tcPr>
          <w:p>
            <w:pPr>
              <w:widowControl/>
              <w:adjustRightInd w:val="0"/>
              <w:snapToGrid w:val="0"/>
              <w:jc w:val="center"/>
              <w:textAlignment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rPr>
              <w:t>预期值</w:t>
            </w:r>
          </w:p>
        </w:tc>
        <w:tc>
          <w:tcPr>
            <w:tcW w:w="1541" w:type="dxa"/>
            <w:tcBorders>
              <w:top w:val="single" w:color="000000" w:sz="4" w:space="0"/>
              <w:left w:val="single" w:color="000000" w:sz="4" w:space="0"/>
              <w:bottom w:val="single" w:color="000000" w:sz="4" w:space="0"/>
              <w:right w:val="single" w:color="000000" w:sz="4" w:space="0"/>
            </w:tcBorders>
            <w:shd w:val="clear" w:color="auto" w:fill="DBEEF3"/>
            <w:vAlign w:val="center"/>
          </w:tcPr>
          <w:p>
            <w:pPr>
              <w:widowControl/>
              <w:adjustRightInd w:val="0"/>
              <w:snapToGrid w:val="0"/>
              <w:jc w:val="center"/>
              <w:textAlignment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rPr>
              <w:t>完成值</w:t>
            </w:r>
          </w:p>
        </w:tc>
        <w:tc>
          <w:tcPr>
            <w:tcW w:w="915" w:type="dxa"/>
            <w:tcBorders>
              <w:top w:val="single" w:color="000000" w:sz="4" w:space="0"/>
              <w:left w:val="single" w:color="000000" w:sz="4" w:space="0"/>
              <w:bottom w:val="single" w:color="000000" w:sz="4" w:space="0"/>
              <w:right w:val="single" w:color="000000" w:sz="4" w:space="0"/>
            </w:tcBorders>
            <w:shd w:val="clear" w:color="auto" w:fill="DBEEF3"/>
            <w:vAlign w:val="center"/>
          </w:tcPr>
          <w:p>
            <w:pPr>
              <w:widowControl/>
              <w:adjustRightInd w:val="0"/>
              <w:snapToGrid w:val="0"/>
              <w:jc w:val="center"/>
              <w:textAlignment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rPr>
              <w:t>完成情况</w:t>
            </w:r>
          </w:p>
        </w:tc>
      </w:tr>
      <w:tr>
        <w:trPr>
          <w:trHeight w:val="567" w:hRule="atLeast"/>
          <w:jc w:val="center"/>
        </w:trPr>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备战重大体育赛事</w:t>
            </w:r>
          </w:p>
        </w:tc>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产出指标</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数量指标</w:t>
            </w: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开展优势项目数量（个）</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≥19</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19</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引进高水平教练员人数（人）</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≥54</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80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引进高水平运动员人数（人）</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≥64</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70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引进专业运动领域复合团队专家数（人）</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≥50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68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依托社会力量申办和建设高水平运动队的项目数量</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参加国内比赛人次（人次）</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≥3400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4957</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质量指标</w:t>
            </w: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教练员年度考核合格率（%）</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≥95</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运动员年度考核合格率（%）</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≥9</w:t>
            </w:r>
            <w:r>
              <w:rPr>
                <w:rFonts w:hint="eastAsia" w:ascii="仿宋_GB2312" w:hAnsi="仿宋_GB2312" w:eastAsia="仿宋_GB2312" w:cs="仿宋_GB2312"/>
                <w:color w:val="000000"/>
                <w:kern w:val="0"/>
                <w:sz w:val="24"/>
                <w:lang w:val="en-US" w:eastAsia="zh-CN"/>
              </w:rPr>
              <w:t>5</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反兴奋剂培训运动员覆盖率（%）</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≥95</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设立二线队伍的项目比例（%）</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≥80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84.21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社会效益</w:t>
            </w: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年度重要一次比赛的金牌数（枚）</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≥40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52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亚运会参赛成绩</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全国前三名</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全国前三名</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向国家队输送运动员人数（人）</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≥80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128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对体育强省建设工作的促进作用</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有效促进</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有效促进</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服务对象满意度</w:t>
            </w: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受训人员满意度（%）</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≥90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92.95</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资助承办竞技类体育赛事</w:t>
            </w:r>
          </w:p>
        </w:tc>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产出指标</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数量指标</w:t>
            </w: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宣传报道次数（次）</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200</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298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在我省举办或承办的全国及以上赛事（项次）</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≥19</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28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项目数量（个）</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≥8</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参赛运动员人数（人）</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≥10600</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10624</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现场观众人数（人）</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≥10000</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10000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restart"/>
            <w:tcBorders>
              <w:top w:val="single" w:color="000000" w:sz="4" w:space="0"/>
              <w:left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质量指标</w:t>
            </w: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赛事人为事故发生数（起）</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0</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项目建议书及可行性研究报告编制（项）</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≥2</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288"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重要比赛赛后信息收集进度</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赛后三十天时间内完成信息收集</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赛后三十天时间内完成信息收集</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社会效益</w:t>
            </w: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提高公众对体育赛事的关注度</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进一步提升</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进一步提升</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推进粤港澳大湾区和深圳先行示范区体育国际化发展</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通过举办第十五届全运会，进一步促进粤港澳大湾区体育建设，促进社会交流和融合。</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通过举办第十五届全运会，进一步促进粤港澳大湾区体育建设，促进社会交流和融合。</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对体育强省建设工作的促进作用</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通过举办第十五届全运会，进一步加快广东体育强省建设。</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通过举办第十五届全运会，进一步加快广东体育强省建设。</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媒体报道次数（次）</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≥50</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61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可持续影响</w:t>
            </w: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建设项目有效性</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长期有效</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长期有效</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服务对象满意度</w:t>
            </w: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运动员满意度（%）</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≥85</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服务对象满意度（%）</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85</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90.32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运动队保障</w:t>
            </w:r>
          </w:p>
        </w:tc>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产出指标</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数量指标</w:t>
            </w: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完成工程结算项目数量（个）</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≥5</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完成工程结算定案项目数量（个）</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≥3</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4</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退役运动员培训次数（次）</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完成各基地运动队改善设施条件的修改维修项目数量（个）</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≥9</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9</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开工建设项目数量（个）</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≥2</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举办培训班次数（次）</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建设面积（平方米）</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田径场：二沙中心16438平方米（西1场7886平方米，东2场8552平方米）。室外网球场：二沙中心6880平方米</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kern w:val="0"/>
                <w:sz w:val="24"/>
                <w:highlight w:val="none"/>
                <w:lang w:val="en-US" w:eastAsia="zh-CN"/>
              </w:rPr>
              <w:t>按计划推进</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完成项目实体移交数量（个）</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≥2</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质量指标</w:t>
            </w: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工程质量验收</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合格</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auto"/>
                <w:kern w:val="0"/>
                <w:sz w:val="24"/>
              </w:rPr>
              <w:t>合格</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时效指标</w:t>
            </w: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投入使用时间</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项目实施进度按《省体育局年度基建工作计划》进行</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项目实施进度按《省体育局年度基建工作计划》进行</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成本指标</w:t>
            </w: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项目结算金额</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符合《广东省财政厅关于基本建设财务管理的实施办法》规定</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11161.79万</w:t>
            </w:r>
            <w:r>
              <w:rPr>
                <w:rFonts w:hint="eastAsia" w:ascii="仿宋_GB2312" w:hAnsi="仿宋_GB2312" w:eastAsia="仿宋_GB2312" w:cs="仿宋_GB2312"/>
                <w:color w:val="000000"/>
                <w:kern w:val="0"/>
                <w:sz w:val="24"/>
                <w:lang w:eastAsia="zh-CN"/>
              </w:rPr>
              <w:t>元</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社会效益</w:t>
            </w: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运动员自主择业率（%）</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≥60</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84.58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运动队生活、训练条件</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有效改善</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有效改善</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服务对象满意度</w:t>
            </w: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退役运动员满意度（%）</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≥90</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r>
        <w:trPr>
          <w:trHeight w:val="567" w:hRule="atLeast"/>
          <w:jc w:val="center"/>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仿宋_GB2312" w:hAnsi="仿宋_GB2312" w:eastAsia="仿宋_GB2312" w:cs="仿宋_GB2312"/>
                <w:color w:val="000000"/>
                <w:sz w:val="24"/>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受训运动员满意度（%）</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≥90</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92.38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完成</w:t>
            </w:r>
          </w:p>
        </w:tc>
      </w:tr>
    </w:tbl>
    <w:p>
      <w:pPr>
        <w:spacing w:before="156" w:beforeLines="50" w:line="360" w:lineRule="auto"/>
        <w:ind w:firstLine="642" w:firstLineChars="200"/>
        <w:outlineLvl w:val="2"/>
        <w:rPr>
          <w:rFonts w:ascii="仿宋_GB2312" w:eastAsia="仿宋_GB2312"/>
          <w:b/>
          <w:bCs/>
          <w:sz w:val="32"/>
          <w:szCs w:val="32"/>
        </w:rPr>
      </w:pPr>
      <w:r>
        <w:rPr>
          <w:rFonts w:hint="eastAsia" w:ascii="仿宋_GB2312" w:eastAsia="仿宋_GB2312"/>
          <w:b/>
          <w:bCs/>
          <w:sz w:val="32"/>
          <w:szCs w:val="32"/>
        </w:rPr>
        <w:t>3.专项资金分用途使用绩效</w:t>
      </w:r>
    </w:p>
    <w:p>
      <w:pPr>
        <w:spacing w:line="360" w:lineRule="auto"/>
        <w:ind w:firstLine="642" w:firstLineChars="200"/>
        <w:rPr>
          <w:rFonts w:ascii="仿宋_GB2312" w:hAnsi="仿宋_GB2312" w:eastAsia="仿宋_GB2312" w:cs="仿宋_GB2312"/>
          <w:b/>
          <w:bCs/>
          <w:sz w:val="32"/>
          <w:szCs w:val="32"/>
        </w:rPr>
      </w:pPr>
      <w:r>
        <w:rPr>
          <w:rFonts w:hint="eastAsia" w:ascii="仿宋_GB2312" w:eastAsia="仿宋_GB2312"/>
          <w:b/>
          <w:bCs/>
          <w:sz w:val="32"/>
          <w:szCs w:val="32"/>
        </w:rPr>
        <w:t>（1）全力推进</w:t>
      </w:r>
      <w:r>
        <w:rPr>
          <w:rFonts w:hint="eastAsia" w:ascii="仿宋_GB2312" w:hAnsi="仿宋_GB2312" w:eastAsia="仿宋_GB2312" w:cs="仿宋_GB2312"/>
          <w:b/>
          <w:bCs/>
          <w:sz w:val="32"/>
          <w:szCs w:val="32"/>
        </w:rPr>
        <w:t>十五运周期备战工作，不断优化备战管理和保障体系；强化备战参赛工作，促进竞技实力有效提升，全面增强我省竞技体育综合实力和核心竞争力</w:t>
      </w:r>
    </w:p>
    <w:p>
      <w:pPr>
        <w:widowControl/>
        <w:ind w:firstLine="642"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一是我省备战训练工作稳步推进，整体水平显著提升。</w:t>
      </w:r>
      <w:r>
        <w:rPr>
          <w:rFonts w:hint="eastAsia" w:ascii="仿宋_GB2312" w:hAnsi="仿宋_GB2312" w:eastAsia="仿宋_GB2312" w:cs="仿宋_GB2312"/>
          <w:sz w:val="32"/>
          <w:szCs w:val="32"/>
        </w:rPr>
        <w:t>进一步明确备战目标和措施</w:t>
      </w:r>
      <w:r>
        <w:rPr>
          <w:rFonts w:hint="eastAsia" w:ascii="仿宋_GB2312" w:hAnsi="仿宋_GB2312" w:eastAsia="仿宋_GB2312" w:cs="仿宋_GB2312"/>
          <w:sz w:val="32"/>
          <w:szCs w:val="32"/>
          <w:highlight w:val="none"/>
        </w:rPr>
        <w:t>，形成以省直属训练中心为主体，各地市、协会、俱乐部等为补充的备战架构</w:t>
      </w:r>
      <w:r>
        <w:rPr>
          <w:rFonts w:hint="eastAsia" w:ascii="仿宋_GB2312" w:hAnsi="仿宋_GB2312" w:eastAsia="仿宋_GB2312" w:cs="仿宋_GB2312"/>
          <w:sz w:val="32"/>
          <w:szCs w:val="32"/>
        </w:rPr>
        <w:t>。开展优势项目数量19个，重点项目和队伍备战阵容基本稳定，保持高水平训练。依托社会力量申办和建设高水平运动队的项目数量10个。加强备战管理制度建设，推出《广东省体育局直属训练中心备战工作管理办法》等文件。深入开展系统训练，强化体能和作风，推进高水平训练平台建设，提升备战实力。</w:t>
      </w:r>
    </w:p>
    <w:p>
      <w:pPr>
        <w:widowControl/>
        <w:ind w:firstLine="642" w:firstLineChars="200"/>
        <w:jc w:val="left"/>
        <w:rPr>
          <w:rFonts w:ascii="仿宋_GB2312" w:hAnsi="宋体" w:eastAsia="仿宋_GB2312" w:cs="仿宋_GB2312"/>
          <w:kern w:val="0"/>
          <w:sz w:val="31"/>
          <w:szCs w:val="31"/>
        </w:rPr>
      </w:pPr>
      <w:r>
        <w:rPr>
          <w:rFonts w:hint="eastAsia" w:ascii="仿宋_GB2312" w:hAnsi="仿宋_GB2312" w:eastAsia="仿宋_GB2312" w:cs="仿宋_GB2312"/>
          <w:b/>
          <w:bCs/>
          <w:sz w:val="32"/>
          <w:szCs w:val="32"/>
        </w:rPr>
        <w:t>二是积极开展人才引进。</w:t>
      </w:r>
      <w:r>
        <w:rPr>
          <w:rFonts w:hint="eastAsia" w:ascii="仿宋_GB2312" w:hAnsi="宋体" w:eastAsia="仿宋_GB2312" w:cs="仿宋_GB2312"/>
          <w:kern w:val="0"/>
          <w:sz w:val="31"/>
          <w:szCs w:val="31"/>
        </w:rPr>
        <w:t>引进70名高水平运动员、80名高水平教练员和73名专业运动领域复合团队专家。积极向国家队输送运动员、教练员和保障人员，截至2023年12月18日，我省有128名运动员、33名教练员和16名科医保障人员在国家队集训。</w:t>
      </w:r>
    </w:p>
    <w:p>
      <w:pPr>
        <w:ind w:firstLine="642" w:firstLineChars="200"/>
        <w:rPr>
          <w:rFonts w:ascii="仿宋_GB2312" w:hAnsi="宋体" w:eastAsia="仿宋_GB2312" w:cs="仿宋_GB2312"/>
          <w:kern w:val="0"/>
          <w:sz w:val="31"/>
          <w:szCs w:val="31"/>
        </w:rPr>
      </w:pPr>
      <w:r>
        <w:rPr>
          <w:rFonts w:hint="eastAsia" w:ascii="仿宋_GB2312" w:hAnsi="仿宋_GB2312" w:eastAsia="仿宋_GB2312" w:cs="仿宋_GB2312"/>
          <w:b/>
          <w:bCs/>
          <w:sz w:val="32"/>
          <w:szCs w:val="32"/>
        </w:rPr>
        <w:t>三是精心组织做好年度参赛工作。</w:t>
      </w:r>
      <w:r>
        <w:rPr>
          <w:rFonts w:hint="eastAsia" w:ascii="仿宋_GB2312" w:hAnsi="宋体" w:eastAsia="仿宋_GB2312" w:cs="仿宋_GB2312"/>
          <w:kern w:val="0"/>
          <w:sz w:val="31"/>
          <w:szCs w:val="31"/>
        </w:rPr>
        <w:t>我省运动员分别获得世锦赛、世界杯等国际大赛30项次世界冠军和全国重要一次比赛52枚全运小项金牌，参加国内外大赛成绩均位居全国前列。</w:t>
      </w:r>
      <w:r>
        <w:rPr>
          <w:rFonts w:hint="eastAsia" w:ascii="仿宋_GB2312" w:hAnsi="宋体" w:eastAsia="仿宋_GB2312" w:cs="仿宋_GB2312"/>
          <w:kern w:val="0"/>
          <w:sz w:val="31"/>
          <w:szCs w:val="31"/>
          <w:highlight w:val="none"/>
          <w:lang w:val="en-US" w:eastAsia="zh-CN"/>
        </w:rPr>
        <w:t>杭州亚运会，</w:t>
      </w:r>
      <w:r>
        <w:rPr>
          <w:rFonts w:hint="eastAsia" w:ascii="仿宋_GB2312" w:hAnsi="宋体" w:eastAsia="仿宋_GB2312" w:cs="仿宋_GB2312"/>
          <w:kern w:val="0"/>
          <w:sz w:val="31"/>
          <w:szCs w:val="31"/>
          <w:highlight w:val="none"/>
        </w:rPr>
        <w:t>我省共有93名运动员参加了27个大项33个分项78个小项的比</w:t>
      </w:r>
      <w:r>
        <w:rPr>
          <w:rFonts w:hint="eastAsia" w:ascii="仿宋_GB2312" w:hAnsi="宋体" w:eastAsia="仿宋_GB2312" w:cs="仿宋_GB2312"/>
          <w:kern w:val="0"/>
          <w:sz w:val="31"/>
          <w:szCs w:val="31"/>
        </w:rPr>
        <w:t>赛，获得30枚金牌、17枚银牌、8枚铜牌，打破1项世界纪录、3项亚洲纪录和3项赛会纪录，参赛人数、项数和成绩均位居全国前列，顺利实现了“保持领先优势，为国、为省争光”的目标任务。</w:t>
      </w:r>
    </w:p>
    <w:p>
      <w:pPr>
        <w:ind w:firstLine="622" w:firstLineChars="200"/>
        <w:rPr>
          <w:rFonts w:ascii="仿宋_GB2312" w:hAnsi="宋体" w:eastAsia="仿宋_GB2312" w:cs="仿宋_GB2312"/>
          <w:kern w:val="0"/>
          <w:sz w:val="31"/>
          <w:szCs w:val="31"/>
        </w:rPr>
      </w:pPr>
      <w:r>
        <w:rPr>
          <w:rFonts w:hint="eastAsia" w:ascii="仿宋_GB2312" w:hAnsi="宋体" w:eastAsia="仿宋_GB2312" w:cs="仿宋_GB2312"/>
          <w:b/>
          <w:bCs/>
          <w:kern w:val="0"/>
          <w:sz w:val="31"/>
          <w:szCs w:val="31"/>
        </w:rPr>
        <w:t>四是十四冬备战参赛工作取得显著成果。</w:t>
      </w:r>
      <w:r>
        <w:rPr>
          <w:rFonts w:hint="eastAsia" w:ascii="仿宋_GB2312" w:hAnsi="宋体" w:eastAsia="仿宋_GB2312" w:cs="仿宋_GB2312"/>
          <w:kern w:val="0"/>
          <w:sz w:val="31"/>
          <w:szCs w:val="31"/>
        </w:rPr>
        <w:t>通过跨界选材、协会培养、国家队合作等方式，为冬季项目输送优秀后备人才。粤龙两省签订冰雪体育合作协议，加强交流合作，备战冬奥会、冬全运会等赛事。与黑龙江、吉林、陕西等省份签订运动员联合培养协议，共同培养优秀人才。与深圳昆仑鸿星冰球俱乐部合作，增强备战实力。我省参加十四冬运动员126人。其中，广东女子冰球队在十四冬女子冰球公开组比赛中以全胜战绩夺冠，取得本届冬全运会首枚金牌。在十四冬雪橇项目团体接力赛和男子双人比赛中，广东健儿分别获得1金1银。</w:t>
      </w:r>
    </w:p>
    <w:p>
      <w:pPr>
        <w:spacing w:line="360" w:lineRule="auto"/>
        <w:ind w:firstLine="620" w:firstLineChars="200"/>
        <w:rPr>
          <w:rFonts w:hint="eastAsia" w:ascii="仿宋_GB2312" w:hAnsi="宋体" w:eastAsia="仿宋_GB2312" w:cs="仿宋_GB2312"/>
          <w:kern w:val="0"/>
          <w:sz w:val="31"/>
          <w:szCs w:val="31"/>
        </w:rPr>
      </w:pPr>
      <w:r>
        <w:rPr>
          <w:rFonts w:hint="eastAsia" w:ascii="仿宋_GB2312" w:hAnsi="宋体" w:eastAsia="仿宋_GB2312" w:cs="仿宋_GB2312"/>
          <w:kern w:val="0"/>
          <w:sz w:val="31"/>
          <w:szCs w:val="31"/>
        </w:rPr>
        <w:t>通过优化项目布局、完善备战管理体系、加强备战队伍建设、提高科学训练水平、优化备战保障体系等途径，有效促进了竞技实力的提升，在国内外重大赛事中取得优异成绩，圆满完成目标任务，为广东体育强省建设作出积极贡献。</w:t>
      </w:r>
    </w:p>
    <w:p>
      <w:pPr>
        <w:spacing w:line="360" w:lineRule="auto"/>
        <w:ind w:firstLine="642" w:firstLineChars="200"/>
        <w:rPr>
          <w:rFonts w:ascii="仿宋_GB2312" w:eastAsia="仿宋_GB2312"/>
          <w:b/>
          <w:bCs/>
          <w:sz w:val="32"/>
          <w:szCs w:val="32"/>
        </w:rPr>
      </w:pPr>
      <w:bookmarkStart w:id="0" w:name="_GoBack"/>
      <w:bookmarkEnd w:id="0"/>
      <w:r>
        <w:rPr>
          <w:rFonts w:hint="eastAsia" w:ascii="仿宋_GB2312" w:eastAsia="仿宋_GB2312"/>
          <w:b/>
          <w:bCs/>
          <w:sz w:val="32"/>
          <w:szCs w:val="32"/>
        </w:rPr>
        <w:t>（2）资助承办竞技类体育赛事，推动体育产业高质量发展</w:t>
      </w:r>
    </w:p>
    <w:p>
      <w:pPr>
        <w:ind w:firstLine="622" w:firstLineChars="200"/>
        <w:rPr>
          <w:rFonts w:ascii="仿宋_GB2312" w:hAnsi="宋体" w:eastAsia="仿宋_GB2312" w:cs="仿宋_GB2312"/>
          <w:kern w:val="0"/>
          <w:sz w:val="31"/>
          <w:szCs w:val="31"/>
        </w:rPr>
      </w:pPr>
      <w:r>
        <w:rPr>
          <w:rFonts w:hint="eastAsia" w:ascii="Calibri" w:hAnsi="Calibri" w:eastAsia="仿宋_GB2312" w:cs="Calibri"/>
          <w:b/>
          <w:bCs/>
          <w:kern w:val="0"/>
          <w:sz w:val="31"/>
          <w:szCs w:val="31"/>
        </w:rPr>
        <w:t>一是</w:t>
      </w:r>
      <w:r>
        <w:rPr>
          <w:rFonts w:ascii="仿宋_GB2312" w:hAnsi="宋体" w:eastAsia="仿宋_GB2312" w:cs="仿宋_GB2312"/>
          <w:b/>
          <w:bCs/>
          <w:kern w:val="0"/>
          <w:sz w:val="31"/>
          <w:szCs w:val="31"/>
        </w:rPr>
        <w:t>体育赛事活动顺利开展</w:t>
      </w:r>
      <w:r>
        <w:rPr>
          <w:rFonts w:hint="eastAsia" w:ascii="仿宋_GB2312" w:hAnsi="宋体" w:eastAsia="仿宋_GB2312" w:cs="仿宋_GB2312"/>
          <w:b/>
          <w:bCs/>
          <w:kern w:val="0"/>
          <w:sz w:val="31"/>
          <w:szCs w:val="31"/>
        </w:rPr>
        <w:t>，大力促进赛事消费</w:t>
      </w:r>
      <w:r>
        <w:rPr>
          <w:rFonts w:ascii="仿宋_GB2312" w:hAnsi="宋体" w:eastAsia="仿宋_GB2312" w:cs="仿宋_GB2312"/>
          <w:b/>
          <w:bCs/>
          <w:kern w:val="0"/>
          <w:sz w:val="31"/>
          <w:szCs w:val="31"/>
        </w:rPr>
        <w:t>。</w:t>
      </w:r>
      <w:r>
        <w:rPr>
          <w:rFonts w:ascii="仿宋_GB2312" w:hAnsi="宋体" w:eastAsia="仿宋_GB2312" w:cs="仿宋_GB2312"/>
          <w:kern w:val="0"/>
          <w:sz w:val="31"/>
          <w:szCs w:val="31"/>
        </w:rPr>
        <w:t>成功举办</w:t>
      </w:r>
      <w:r>
        <w:rPr>
          <w:rFonts w:hint="eastAsia" w:ascii="仿宋_GB2312" w:hAnsi="宋体" w:eastAsia="仿宋_GB2312" w:cs="仿宋_GB2312"/>
          <w:kern w:val="0"/>
          <w:sz w:val="31"/>
          <w:szCs w:val="31"/>
        </w:rPr>
        <w:t>2023年度粤港澳系列赛事，在我省举办或承办的全国及以上赛事28项次，赛事活动丰富多彩，满足不同人群健身多元化需求，有效拉动消费，推动体育产业高质量发展。</w:t>
      </w:r>
    </w:p>
    <w:p>
      <w:pPr>
        <w:ind w:firstLine="642" w:firstLineChars="200"/>
        <w:rPr>
          <w:rFonts w:ascii="仿宋_GB2312" w:hAnsi="宋体" w:eastAsia="仿宋_GB2312" w:cs="仿宋_GB2312"/>
          <w:kern w:val="0"/>
          <w:sz w:val="31"/>
          <w:szCs w:val="31"/>
        </w:rPr>
      </w:pPr>
      <w:r>
        <w:rPr>
          <w:rFonts w:hint="eastAsia" w:ascii="Calibri" w:hAnsi="Calibri" w:eastAsia="仿宋_GB2312" w:cs="Calibri"/>
          <w:b/>
          <w:bCs/>
          <w:kern w:val="0"/>
          <w:sz w:val="32"/>
          <w:szCs w:val="32"/>
        </w:rPr>
        <w:t>二是体育产业规模壮大，融入经济社会发展大局。</w:t>
      </w:r>
      <w:r>
        <w:rPr>
          <w:rFonts w:hint="eastAsia" w:ascii="仿宋_GB2312" w:hAnsi="宋体" w:eastAsia="仿宋_GB2312" w:cs="仿宋_GB2312"/>
          <w:kern w:val="0"/>
          <w:sz w:val="31"/>
          <w:szCs w:val="31"/>
        </w:rPr>
        <w:t>2023年，我省体育产业规模持续领先，我省体育产业总规模、增加值已连续多年位居全国前列。布局与结构不断优化，全省总体上呈现“一圈双核五带多点”体育产业布局。预计2023年广东省体育产业总规模超7300亿元，增速约13%，增加值超2300亿元，增速约9%，体育服务业占比实现跃升。</w:t>
      </w:r>
    </w:p>
    <w:p>
      <w:pPr>
        <w:ind w:firstLine="642" w:firstLineChars="200"/>
        <w:rPr>
          <w:rFonts w:ascii="Calibri" w:hAnsi="Calibri" w:eastAsia="仿宋_GB2312" w:cs="Calibri"/>
          <w:b/>
          <w:bCs/>
          <w:kern w:val="0"/>
          <w:sz w:val="32"/>
          <w:szCs w:val="32"/>
        </w:rPr>
      </w:pPr>
      <w:r>
        <w:rPr>
          <w:rFonts w:hint="eastAsia" w:ascii="Calibri" w:hAnsi="Calibri" w:eastAsia="仿宋_GB2312" w:cs="Calibri"/>
          <w:b/>
          <w:bCs/>
          <w:kern w:val="0"/>
          <w:sz w:val="32"/>
          <w:szCs w:val="32"/>
        </w:rPr>
        <w:t>三是筹备十五运会，打造高水平体育盛会。</w:t>
      </w:r>
      <w:r>
        <w:rPr>
          <w:rFonts w:hint="eastAsia" w:ascii="仿宋_GB2312" w:hAnsi="仿宋_GB2312" w:eastAsia="仿宋_GB2312" w:cs="仿宋_GB2312"/>
          <w:kern w:val="0"/>
          <w:sz w:val="32"/>
          <w:szCs w:val="32"/>
        </w:rPr>
        <w:t>首先，实体化运作筹备机构。成立广东赛区筹备委员会和执行委员会，解决办公场所问题，选派41名干部参与工作，初步进入实体化运作阶段，构建制度体系。其次，有序推进项目布局。向国家体育总局请示汇报，畅通沟通机制。落实竞技体育项目布局，申请广东承办30个大项、350个小项比赛，广州承办开幕式、深圳承办闭幕式。第三，加快场馆维修建设。完成全省108个场馆数据库建档工作，5个省属场馆维修改造工程项目完成立项批复，制定技术标准文件。</w:t>
      </w:r>
    </w:p>
    <w:p>
      <w:pPr>
        <w:spacing w:line="360" w:lineRule="auto"/>
        <w:ind w:firstLine="642" w:firstLineChars="200"/>
        <w:rPr>
          <w:rFonts w:ascii="仿宋_GB2312" w:eastAsia="仿宋_GB2312"/>
          <w:b/>
          <w:bCs/>
          <w:sz w:val="32"/>
          <w:szCs w:val="32"/>
        </w:rPr>
      </w:pPr>
      <w:r>
        <w:rPr>
          <w:rFonts w:hint="eastAsia" w:ascii="仿宋_GB2312" w:eastAsia="仿宋_GB2312"/>
          <w:b/>
          <w:bCs/>
          <w:sz w:val="32"/>
          <w:szCs w:val="32"/>
        </w:rPr>
        <w:t>（3）完善退役运动员保障工作，积极改善运动队训练、生活条件，为运动队提供有力保障</w:t>
      </w:r>
    </w:p>
    <w:p>
      <w:pPr>
        <w:spacing w:line="360" w:lineRule="auto"/>
        <w:ind w:firstLine="642" w:firstLineChars="200"/>
        <w:rPr>
          <w:rFonts w:ascii="仿宋_GB2312" w:eastAsia="仿宋_GB2312"/>
          <w:sz w:val="32"/>
          <w:szCs w:val="32"/>
        </w:rPr>
      </w:pPr>
      <w:r>
        <w:rPr>
          <w:rFonts w:hint="eastAsia" w:ascii="仿宋_GB2312" w:eastAsia="仿宋_GB2312"/>
          <w:b/>
          <w:bCs/>
          <w:sz w:val="32"/>
          <w:szCs w:val="32"/>
        </w:rPr>
        <w:t>一是完善退役运动员保障工作。</w:t>
      </w:r>
      <w:r>
        <w:rPr>
          <w:rFonts w:hint="eastAsia" w:ascii="仿宋_GB2312" w:eastAsia="仿宋_GB2312"/>
          <w:sz w:val="32"/>
          <w:szCs w:val="32"/>
        </w:rPr>
        <w:t>加强工作培训，举办退役运动员转型中学教师资格培训班1次，</w:t>
      </w:r>
      <w:r>
        <w:rPr>
          <w:rFonts w:hint="eastAsia" w:ascii="仿宋_GB2312" w:hAnsi="仿宋_GB2312" w:eastAsia="仿宋_GB2312" w:cs="仿宋_GB2312"/>
          <w:kern w:val="0"/>
          <w:sz w:val="32"/>
          <w:szCs w:val="32"/>
        </w:rPr>
        <w:t>办理201名退役运动员退役手续，审核发放170名退役运动员自主择业经济补偿金，自主择业率84.58%，</w:t>
      </w:r>
      <w:r>
        <w:rPr>
          <w:rFonts w:hint="eastAsia" w:ascii="仿宋_GB2312" w:eastAsia="仿宋_GB2312"/>
          <w:sz w:val="32"/>
          <w:szCs w:val="32"/>
        </w:rPr>
        <w:t>惠及退役运动员100%，推动我省优秀运动员退役后进入了一个新的发展阶段。</w:t>
      </w:r>
    </w:p>
    <w:p>
      <w:pPr>
        <w:spacing w:line="360" w:lineRule="auto"/>
        <w:ind w:firstLine="642" w:firstLineChars="200"/>
      </w:pPr>
      <w:r>
        <w:rPr>
          <w:rFonts w:hint="eastAsia" w:ascii="仿宋_GB2312" w:eastAsia="仿宋_GB2312"/>
          <w:b/>
          <w:bCs/>
          <w:sz w:val="32"/>
          <w:szCs w:val="32"/>
        </w:rPr>
        <w:t>二是积极改善运动队训练、生活条件。</w:t>
      </w:r>
      <w:r>
        <w:rPr>
          <w:rFonts w:hint="eastAsia" w:ascii="仿宋_GB2312" w:eastAsia="仿宋_GB2312"/>
          <w:sz w:val="32"/>
          <w:szCs w:val="32"/>
        </w:rPr>
        <w:t>广东省黄村体育训练中心、广东省船艇训练中心、广东省足球运动中心、广东省重竞技体育训练中心、广东省二沙体育训练中心、广东海上项目训练中心等6个训练基地的运动员宿舍和训练场地进行维修或升级改造，工程项目投入使用时间符合《广东省财政厅关于基本建设财务管理的实施办法》规定，年度零星维修项目全部完成，项目实施有效改善运动队训练比赛、生活设施条件，为各训练单位提供了有力的保障。</w:t>
      </w:r>
    </w:p>
    <w:p>
      <w:pPr>
        <w:widowControl/>
        <w:spacing w:line="360" w:lineRule="auto"/>
        <w:ind w:firstLine="642" w:firstLineChars="200"/>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（三）专项资金使用绩效存在的问题</w:t>
      </w:r>
    </w:p>
    <w:p>
      <w:pPr>
        <w:spacing w:line="360" w:lineRule="auto"/>
        <w:ind w:firstLine="640" w:firstLineChars="200"/>
        <w:rPr>
          <w:rFonts w:hint="eastAsia" w:ascii="仿宋_GB2312" w:eastAsia="仿宋_GB2312"/>
          <w:sz w:val="32"/>
          <w:szCs w:val="32"/>
          <w:lang w:eastAsia="zh-CN"/>
        </w:rPr>
      </w:pPr>
      <w:r>
        <w:rPr>
          <w:rFonts w:hint="eastAsia" w:ascii="仿宋_GB2312" w:eastAsia="仿宋_GB2312"/>
          <w:sz w:val="32"/>
          <w:szCs w:val="32"/>
        </w:rPr>
        <w:t>资金支出率有待提高。主要原因是资助承办竞技类体育赛事项目中，</w:t>
      </w:r>
      <w:r>
        <w:rPr>
          <w:rFonts w:hint="eastAsia" w:ascii="仿宋_GB2312" w:hAnsi="宋体" w:eastAsia="仿宋_GB2312"/>
          <w:kern w:val="0"/>
          <w:sz w:val="32"/>
          <w:szCs w:val="32"/>
        </w:rPr>
        <w:t>部分</w:t>
      </w:r>
      <w:r>
        <w:rPr>
          <w:rFonts w:hint="eastAsia" w:ascii="仿宋_GB2312" w:hAnsi="宋体" w:eastAsia="仿宋_GB2312"/>
          <w:kern w:val="0"/>
          <w:sz w:val="32"/>
          <w:szCs w:val="32"/>
          <w:lang w:eastAsia="zh-CN"/>
        </w:rPr>
        <w:t>转移支付</w:t>
      </w:r>
      <w:r>
        <w:rPr>
          <w:rFonts w:hint="eastAsia" w:ascii="仿宋_GB2312" w:hAnsi="宋体" w:eastAsia="仿宋_GB2312"/>
          <w:kern w:val="0"/>
          <w:sz w:val="32"/>
          <w:szCs w:val="32"/>
        </w:rPr>
        <w:t>资金到位时间较晚</w:t>
      </w:r>
      <w:r>
        <w:rPr>
          <w:rFonts w:hint="eastAsia" w:ascii="仿宋_GB2312" w:eastAsia="仿宋_GB2312"/>
          <w:sz w:val="32"/>
          <w:szCs w:val="32"/>
        </w:rPr>
        <w:t>，未能及时支付项目所需的资金。</w:t>
      </w:r>
      <w:r>
        <w:rPr>
          <w:rFonts w:hint="eastAsia" w:ascii="仿宋_GB2312" w:eastAsia="仿宋_GB2312"/>
          <w:sz w:val="32"/>
          <w:szCs w:val="32"/>
          <w:lang w:val="en-US" w:eastAsia="zh-CN"/>
        </w:rPr>
        <w:t>运动队保障项目中，</w:t>
      </w:r>
      <w:r>
        <w:rPr>
          <w:rFonts w:hint="eastAsia" w:ascii="仿宋_GB2312" w:eastAsia="仿宋_GB2312"/>
          <w:sz w:val="32"/>
          <w:szCs w:val="32"/>
        </w:rPr>
        <w:t>二沙中心推进宿舍和室外管网等配套工程</w:t>
      </w:r>
      <w:r>
        <w:rPr>
          <w:rFonts w:hint="eastAsia" w:ascii="仿宋_GB2312" w:eastAsia="仿宋_GB2312"/>
          <w:sz w:val="32"/>
          <w:szCs w:val="32"/>
          <w:lang w:eastAsia="zh-CN"/>
        </w:rPr>
        <w:t>、</w:t>
      </w:r>
      <w:r>
        <w:rPr>
          <w:rFonts w:hint="eastAsia" w:ascii="仿宋_GB2312" w:eastAsia="仿宋_GB2312"/>
          <w:sz w:val="32"/>
          <w:szCs w:val="32"/>
        </w:rPr>
        <w:t>田径场、网球场建设，项目</w:t>
      </w:r>
      <w:r>
        <w:rPr>
          <w:rFonts w:hint="eastAsia" w:ascii="仿宋_GB2312" w:eastAsia="仿宋_GB2312"/>
          <w:sz w:val="32"/>
          <w:szCs w:val="32"/>
          <w:lang w:eastAsia="zh-CN"/>
        </w:rPr>
        <w:t>均</w:t>
      </w:r>
      <w:r>
        <w:rPr>
          <w:rFonts w:hint="eastAsia" w:ascii="仿宋_GB2312" w:eastAsia="仿宋_GB2312"/>
          <w:sz w:val="32"/>
          <w:szCs w:val="32"/>
        </w:rPr>
        <w:t>按施工计划，按照合同</w:t>
      </w:r>
      <w:r>
        <w:rPr>
          <w:rFonts w:hint="eastAsia" w:ascii="仿宋_GB2312" w:eastAsia="仿宋_GB2312"/>
          <w:sz w:val="32"/>
          <w:szCs w:val="32"/>
          <w:lang w:eastAsia="zh-CN"/>
        </w:rPr>
        <w:t>约定</w:t>
      </w:r>
      <w:r>
        <w:rPr>
          <w:rFonts w:hint="eastAsia" w:ascii="仿宋_GB2312" w:eastAsia="仿宋_GB2312"/>
          <w:sz w:val="32"/>
          <w:szCs w:val="32"/>
        </w:rPr>
        <w:t>，进度款暂不需要支付。</w:t>
      </w:r>
    </w:p>
    <w:p>
      <w:pPr>
        <w:spacing w:line="360" w:lineRule="auto"/>
        <w:ind w:firstLine="640" w:firstLineChars="200"/>
        <w:outlineLvl w:val="0"/>
        <w:rPr>
          <w:rFonts w:ascii="黑体" w:eastAsia="黑体"/>
          <w:sz w:val="32"/>
          <w:szCs w:val="32"/>
        </w:rPr>
      </w:pPr>
      <w:r>
        <w:rPr>
          <w:rFonts w:hint="eastAsia" w:ascii="黑体" w:eastAsia="黑体"/>
          <w:sz w:val="32"/>
          <w:szCs w:val="32"/>
        </w:rPr>
        <w:t>三、改进意见</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提升预算执行管控水平。指导各</w:t>
      </w:r>
      <w:r>
        <w:rPr>
          <w:rFonts w:hint="eastAsia" w:ascii="仿宋_GB2312" w:eastAsia="仿宋_GB2312"/>
          <w:sz w:val="32"/>
          <w:szCs w:val="32"/>
          <w:lang w:val="en-US" w:eastAsia="zh-CN"/>
        </w:rPr>
        <w:t>直属单位、</w:t>
      </w:r>
      <w:r>
        <w:rPr>
          <w:rFonts w:hint="eastAsia" w:ascii="仿宋_GB2312" w:eastAsia="仿宋_GB2312"/>
          <w:sz w:val="32"/>
          <w:szCs w:val="32"/>
        </w:rPr>
        <w:t>地市项目尽早提交资金申请，</w:t>
      </w:r>
      <w:r>
        <w:rPr>
          <w:rFonts w:hint="eastAsia" w:ascii="仿宋_GB2312" w:eastAsia="仿宋_GB2312"/>
          <w:sz w:val="32"/>
          <w:szCs w:val="32"/>
          <w:lang w:eastAsia="zh-CN"/>
        </w:rPr>
        <w:t>加强</w:t>
      </w:r>
      <w:r>
        <w:rPr>
          <w:rFonts w:hint="eastAsia" w:ascii="仿宋_GB2312" w:eastAsia="仿宋_GB2312"/>
          <w:sz w:val="32"/>
          <w:szCs w:val="32"/>
          <w:lang w:val="en-US" w:eastAsia="zh-CN"/>
        </w:rPr>
        <w:t>直属单位、</w:t>
      </w:r>
      <w:r>
        <w:rPr>
          <w:rFonts w:hint="eastAsia" w:ascii="仿宋_GB2312" w:eastAsia="仿宋_GB2312"/>
          <w:sz w:val="32"/>
          <w:szCs w:val="32"/>
        </w:rPr>
        <w:t>地市主管部门与同级财政间的沟通协调，深入了解资金拨付过程中的难题及成因，共同探讨解决策略，确保项目依规按质完成，使专项资金</w:t>
      </w:r>
      <w:r>
        <w:rPr>
          <w:rFonts w:hint="eastAsia" w:ascii="仿宋_GB2312" w:eastAsia="仿宋_GB2312"/>
          <w:sz w:val="32"/>
          <w:szCs w:val="32"/>
          <w:lang w:eastAsia="zh-CN"/>
        </w:rPr>
        <w:t>使用</w:t>
      </w:r>
      <w:r>
        <w:rPr>
          <w:rFonts w:hint="eastAsia" w:ascii="仿宋_GB2312" w:eastAsia="仿宋_GB2312"/>
          <w:sz w:val="32"/>
          <w:szCs w:val="32"/>
        </w:rPr>
        <w:t>实现</w:t>
      </w:r>
      <w:r>
        <w:rPr>
          <w:rFonts w:hint="eastAsia" w:ascii="仿宋_GB2312" w:eastAsia="仿宋_GB2312"/>
          <w:sz w:val="32"/>
          <w:szCs w:val="32"/>
          <w:lang w:eastAsia="zh-CN"/>
        </w:rPr>
        <w:t>高质高效</w:t>
      </w:r>
      <w:r>
        <w:rPr>
          <w:rFonts w:hint="eastAsia" w:ascii="仿宋_GB2312" w:eastAsia="仿宋_GB2312"/>
          <w:sz w:val="32"/>
          <w:szCs w:val="32"/>
        </w:rPr>
        <w:t>，进而实现资源优化配置。</w:t>
      </w:r>
    </w:p>
    <w:p>
      <w:pPr>
        <w:spacing w:line="360" w:lineRule="auto"/>
      </w:pPr>
    </w:p>
    <w:p/>
    <w:sectPr>
      <w:footerReference r:id="rId4" w:type="default"/>
      <w:pgSz w:w="11906" w:h="16838"/>
      <w:pgMar w:top="1417" w:right="1417" w:bottom="1417" w:left="1531" w:header="851" w:footer="850" w:gutter="0"/>
      <w:pgNumType w:fmt="numberInDash"/>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w Cen MT"/>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Verdana">
    <w:altName w:val="DejaVu Sans"/>
    <w:panose1 w:val="020B0604030005040204"/>
    <w:charset w:val="00"/>
    <w:family w:val="swiss"/>
    <w:pitch w:val="default"/>
    <w:sig w:usb0="00000000" w:usb1="00000000" w:usb2="00000010" w:usb3="00000000" w:csb0="2000019F" w:csb1="00000000"/>
  </w:font>
  <w:font w:name="方正公文小标宋">
    <w:altName w:val="方正小标宋_GBK"/>
    <w:panose1 w:val="02000500000000000000"/>
    <w:charset w:val="86"/>
    <w:family w:val="auto"/>
    <w:pitch w:val="default"/>
    <w:sig w:usb0="00000000" w:usb1="00000000" w:usb2="00000016" w:usb3="00000000" w:csb0="00040001" w:csb1="00000000"/>
  </w:font>
  <w:font w:name="楷体_GB2312">
    <w:altName w:val="方正楷体_GBK"/>
    <w:panose1 w:val="02010609030001010101"/>
    <w:charset w:val="86"/>
    <w:family w:val="auto"/>
    <w:pitch w:val="default"/>
    <w:sig w:usb0="00000000" w:usb1="00000000" w:usb2="00000000" w:usb3="00000000" w:csb0="00040000" w:csb1="00000000"/>
  </w:font>
  <w:font w:name="楷体">
    <w:altName w:val="方正楷体_GBK"/>
    <w:panose1 w:val="020106090600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Tw Cen MT">
    <w:panose1 w:val="020B0602020104020603"/>
    <w:charset w:val="00"/>
    <w:family w:val="auto"/>
    <w:pitch w:val="default"/>
    <w:sig w:usb0="00000003" w:usb1="00000000" w:usb2="00000000" w:usb3="00000000" w:csb0="2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0" distR="0" simplePos="0" relativeHeight="1024" behindDoc="0" locked="0" layoutInCell="1" allowOverlap="1">
              <wp:simplePos x="0" y="0"/>
              <wp:positionH relativeFrom="margin">
                <wp:align>center</wp:align>
              </wp:positionH>
              <wp:positionV relativeFrom="paragraph">
                <wp:posOffset>0</wp:posOffset>
              </wp:positionV>
              <wp:extent cx="481330" cy="231140"/>
              <wp:effectExtent l="0" t="0" r="0" b="0"/>
              <wp:wrapNone/>
              <wp:docPr id="4097" name="文本框 2"/>
              <wp:cNvGraphicFramePr/>
              <a:graphic xmlns:a="http://schemas.openxmlformats.org/drawingml/2006/main">
                <a:graphicData uri="http://schemas.microsoft.com/office/word/2010/wordprocessingShape">
                  <wps:wsp>
                    <wps:cNvSpPr/>
                    <wps:spPr>
                      <a:xfrm>
                        <a:off x="0" y="0"/>
                        <a:ext cx="481330" cy="231140"/>
                      </a:xfrm>
                      <a:prstGeom prst="rect">
                        <a:avLst/>
                      </a:prstGeom>
                      <a:ln>
                        <a:noFill/>
                      </a:ln>
                    </wps:spPr>
                    <wps:txbx>
                      <w:txbxContent>
                        <w:p>
                          <w:pPr>
                            <w:pStyle w:val="5"/>
                            <w:jc w:val="center"/>
                            <w:rPr>
                              <w:rFonts w:ascii="宋体" w:hAnsi="宋体" w:eastAsia="宋体" w:cs="宋体"/>
                              <w:sz w:val="20"/>
                              <w:szCs w:val="28"/>
                            </w:rPr>
                          </w:pPr>
                          <w:r>
                            <w:rPr>
                              <w:rFonts w:hint="eastAsia" w:ascii="宋体" w:hAnsi="宋体" w:eastAsia="宋体" w:cs="宋体"/>
                              <w:sz w:val="20"/>
                              <w:szCs w:val="28"/>
                            </w:rPr>
                            <w:fldChar w:fldCharType="begin"/>
                          </w:r>
                          <w:r>
                            <w:rPr>
                              <w:rFonts w:hint="eastAsia" w:ascii="宋体" w:hAnsi="宋体" w:eastAsia="宋体" w:cs="宋体"/>
                              <w:sz w:val="20"/>
                              <w:szCs w:val="28"/>
                            </w:rPr>
                            <w:instrText xml:space="preserve"> PAGE  \* MERGEFORMAT </w:instrText>
                          </w:r>
                          <w:r>
                            <w:rPr>
                              <w:rFonts w:hint="eastAsia" w:ascii="宋体" w:hAnsi="宋体" w:eastAsia="宋体" w:cs="宋体"/>
                              <w:sz w:val="20"/>
                              <w:szCs w:val="28"/>
                            </w:rPr>
                            <w:fldChar w:fldCharType="separate"/>
                          </w:r>
                          <w:r>
                            <w:rPr>
                              <w:rFonts w:ascii="宋体" w:hAnsi="宋体" w:eastAsia="宋体" w:cs="宋体"/>
                              <w:sz w:val="20"/>
                              <w:szCs w:val="28"/>
                            </w:rPr>
                            <w:t>- 14 -</w:t>
                          </w:r>
                          <w:r>
                            <w:rPr>
                              <w:rFonts w:hint="eastAsia" w:ascii="宋体" w:hAnsi="宋体" w:eastAsia="宋体" w:cs="宋体"/>
                              <w:sz w:val="20"/>
                              <w:szCs w:val="28"/>
                            </w:rPr>
                            <w:fldChar w:fldCharType="end"/>
                          </w:r>
                        </w:p>
                      </w:txbxContent>
                    </wps:txbx>
                    <wps:bodyPr vert="horz" wrap="square" lIns="0" tIns="0" rIns="0" bIns="0" anchor="t">
                      <a:noAutofit/>
                    </wps:bodyPr>
                  </wps:wsp>
                </a:graphicData>
              </a:graphic>
            </wp:anchor>
          </w:drawing>
        </mc:Choice>
        <mc:Fallback>
          <w:pict>
            <v:rect id="文本框 2" o:spid="_x0000_s1026" o:spt="1" style="position:absolute;left:0pt;margin-top:0pt;height:18.2pt;width:37.9pt;mso-position-horizontal:center;mso-position-horizontal-relative:margin;z-index:1024;mso-width-relative:page;mso-height-relative:page;" filled="f" stroked="f" coordsize="21600,21600" o:gfxdata="UEsFBgAAAAAAAAAAAAAAAAAAAAAAAFBLAwQKAAAAAACHTuJAAAAAAAAAAAAAAAAABAAAAGRycy9Q&#10;SwMEFAAAAAgAh07iQL+pHcPWAAAAAwEAAA8AAABkcnMvZG93bnJldi54bWxNj0tPwzAQhO9I/Adr&#10;kbhRpzxKG+JUiIfaI7RIhZsbL0mEvY7ibVP49Sxc4DLSalYz3xTzQ/Bqj31qIxkYjzJQSFV0LdUG&#10;XtaPZ1NQiS056yOhgU9MMC+PjwqbuzjQM+5XXCsJoZRbAw1zl2udqgaDTaPYIYn3HvtgWc6+1q63&#10;g4QHr8+zbKKDbUkaGtvhXYPVx2oXDCym3e3rMn4NtX94W2yeNrP79YyNOT0ZZzegGA/89ww/+IIO&#10;pTBt445cUt6ADOFfFe/6SlZsDVxMLkGXhf7PXn4DUEsDBBQAAAAIAIdO4kCRDuo+tQEAAEQDAAAO&#10;AAAAZHJzL2Uyb0RvYy54bWytUsGO0zAQvSPxD5bvNElbwVI1XSGtFiEhWGnhA1zHbizFHjN2m5QP&#10;gD/gxIU739XvYOykXcTeVlzGY8/4zZs3s74ebMcOCoMBV/NqVnKmnITGuF3NP3+6fXHFWYjCNaID&#10;p2p+VIFfb54/W/d+pebQQtcoZATiwqr3NW9j9KuiCLJVVoQZeOUoqAGtiHTFXdGg6AnddsW8LF8W&#10;PWDjEaQKgV5vxiDfZHytlYwftQ4qsq7mxC1mi9luky02a7HaofCtkRMN8QQWVhhHRS9QNyIKtkfz&#10;CMoaiRBAx5kEW4DWRqrcA3VTlf90c98Kr3IvJE7wF5nC/4OVHw53yExT82X5+hVnTlia0unH99PP&#10;36df39g8KdT7sKLEe3+H0y2Qm9odNNp0UiNsyKoeL6qqITJJj8urarEg7SWF5ouqWmbVi4fPHkN8&#10;q8Cy5NQcaWhZS3F4HyIVpNRzSqrVuWQd3JquG6PppUgkR1rJi8N2mLhuoTlSj7SkBN4CfuWsp4HX&#10;PHzZC1Scde8cKZq24+zg2dmeHeEkfa35yMzBm30EbTK7VG6sMbGgUWXS01qlXfj7nrMeln/z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L+pHcPWAAAAAwEAAA8AAAAAAAAAAQAgAAAAOAAAAGRycy9k&#10;b3ducmV2LnhtbFBLAQIUABQAAAAIAIdO4kCRDuo+tQEAAEQDAAAOAAAAAAAAAAEAIAAAADsBAABk&#10;cnMvZTJvRG9jLnhtbFBLBQYAAAAABgAGAFkBAABiBQAAAAA=&#10;">
              <v:fill on="f" focussize="0,0"/>
              <v:stroke on="f"/>
              <v:imagedata o:title=""/>
              <o:lock v:ext="edit" aspectratio="f"/>
              <v:textbox inset="0mm,0mm,0mm,0mm">
                <w:txbxContent>
                  <w:p>
                    <w:pPr>
                      <w:pStyle w:val="5"/>
                      <w:jc w:val="center"/>
                      <w:rPr>
                        <w:rFonts w:ascii="宋体" w:hAnsi="宋体" w:eastAsia="宋体" w:cs="宋体"/>
                        <w:sz w:val="20"/>
                        <w:szCs w:val="28"/>
                      </w:rPr>
                    </w:pPr>
                    <w:r>
                      <w:rPr>
                        <w:rFonts w:hint="eastAsia" w:ascii="宋体" w:hAnsi="宋体" w:eastAsia="宋体" w:cs="宋体"/>
                        <w:sz w:val="20"/>
                        <w:szCs w:val="28"/>
                      </w:rPr>
                      <w:fldChar w:fldCharType="begin"/>
                    </w:r>
                    <w:r>
                      <w:rPr>
                        <w:rFonts w:hint="eastAsia" w:ascii="宋体" w:hAnsi="宋体" w:eastAsia="宋体" w:cs="宋体"/>
                        <w:sz w:val="20"/>
                        <w:szCs w:val="28"/>
                      </w:rPr>
                      <w:instrText xml:space="preserve"> PAGE  \* MERGEFORMAT </w:instrText>
                    </w:r>
                    <w:r>
                      <w:rPr>
                        <w:rFonts w:hint="eastAsia" w:ascii="宋体" w:hAnsi="宋体" w:eastAsia="宋体" w:cs="宋体"/>
                        <w:sz w:val="20"/>
                        <w:szCs w:val="28"/>
                      </w:rPr>
                      <w:fldChar w:fldCharType="separate"/>
                    </w:r>
                    <w:r>
                      <w:rPr>
                        <w:rFonts w:ascii="宋体" w:hAnsi="宋体" w:eastAsia="宋体" w:cs="宋体"/>
                        <w:sz w:val="20"/>
                        <w:szCs w:val="28"/>
                      </w:rPr>
                      <w:t>- 14 -</w:t>
                    </w:r>
                    <w:r>
                      <w:rPr>
                        <w:rFonts w:hint="eastAsia" w:ascii="宋体" w:hAnsi="宋体" w:eastAsia="宋体" w:cs="宋体"/>
                        <w:sz w:val="20"/>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9"/>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EBEC4136"/>
    <w:rsid w:val="F7E5AB32"/>
    <w:rsid w:val="F9FADBE6"/>
    <w:rsid w:val="FF4B6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qFormat/>
    <w:uiPriority w:val="1"/>
  </w:style>
  <w:style w:type="table" w:default="1" w:styleId="9">
    <w:name w:val="Normal Table"/>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spacing w:after="120"/>
      <w:ind w:left="420" w:leftChars="200"/>
    </w:pPr>
  </w:style>
  <w:style w:type="paragraph" w:styleId="4">
    <w:name w:val="Balloon Text"/>
    <w:basedOn w:val="1"/>
    <w:link w:val="17"/>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2"/>
    <w:next w:val="1"/>
    <w:qFormat/>
    <w:uiPriority w:val="0"/>
    <w:pPr>
      <w:widowControl w:val="0"/>
      <w:ind w:left="420" w:leftChars="200"/>
      <w:jc w:val="both"/>
    </w:pPr>
    <w:rPr>
      <w:rFonts w:ascii="Times New Roman" w:hAnsi="Times New Roman" w:eastAsia="宋体" w:cs="Times New Roman"/>
      <w:kern w:val="2"/>
      <w:sz w:val="21"/>
      <w:szCs w:val="24"/>
      <w:lang w:val="en-US" w:eastAsia="zh-CN" w:bidi="ar-SA"/>
    </w:rPr>
  </w:style>
  <w:style w:type="paragraph" w:styleId="8">
    <w:name w:val="Body Text First Indent 2"/>
    <w:basedOn w:val="3"/>
    <w:next w:val="1"/>
    <w:qFormat/>
    <w:uiPriority w:val="99"/>
    <w:pPr>
      <w:spacing w:line="360" w:lineRule="auto"/>
      <w:ind w:firstLine="420" w:firstLineChars="200"/>
    </w:pPr>
    <w:rPr>
      <w:rFonts w:ascii="仿宋_GB2312" w:hAnsi="仿宋_GB2312" w:eastAsia="仿宋_GB2312"/>
      <w:sz w:val="32"/>
    </w:rPr>
  </w:style>
  <w:style w:type="table" w:styleId="10">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Emphasis"/>
    <w:basedOn w:val="11"/>
    <w:qFormat/>
    <w:uiPriority w:val="0"/>
    <w:rPr>
      <w:i/>
    </w:rPr>
  </w:style>
  <w:style w:type="character" w:styleId="13">
    <w:name w:val="annotation reference"/>
    <w:basedOn w:val="11"/>
    <w:qFormat/>
    <w:uiPriority w:val="0"/>
    <w:rPr>
      <w:sz w:val="21"/>
      <w:szCs w:val="21"/>
    </w:rPr>
  </w:style>
  <w:style w:type="paragraph" w:customStyle="1" w:styleId="14">
    <w:name w:val="Char Char"/>
    <w:basedOn w:val="1"/>
    <w:qFormat/>
    <w:uiPriority w:val="0"/>
    <w:pPr>
      <w:widowControl/>
      <w:adjustRightInd w:val="0"/>
      <w:spacing w:after="160" w:line="240" w:lineRule="exact"/>
      <w:jc w:val="left"/>
    </w:pPr>
    <w:rPr>
      <w:rFonts w:ascii="Verdana" w:hAnsi="Verdana"/>
      <w:kern w:val="0"/>
      <w:sz w:val="20"/>
      <w:szCs w:val="20"/>
      <w:lang w:eastAsia="en-US"/>
    </w:rPr>
  </w:style>
  <w:style w:type="character" w:customStyle="1" w:styleId="15">
    <w:name w:val="font01"/>
    <w:basedOn w:val="11"/>
    <w:qFormat/>
    <w:uiPriority w:val="0"/>
    <w:rPr>
      <w:rFonts w:hint="eastAsia" w:ascii="宋体" w:hAnsi="宋体" w:eastAsia="宋体" w:cs="宋体"/>
      <w:color w:val="000000"/>
      <w:sz w:val="24"/>
      <w:szCs w:val="24"/>
      <w:u w:val="none"/>
    </w:rPr>
  </w:style>
  <w:style w:type="character" w:customStyle="1" w:styleId="16">
    <w:name w:val="font31"/>
    <w:basedOn w:val="11"/>
    <w:qFormat/>
    <w:uiPriority w:val="0"/>
    <w:rPr>
      <w:rFonts w:hint="eastAsia" w:ascii="宋体" w:hAnsi="宋体" w:eastAsia="宋体" w:cs="宋体"/>
      <w:color w:val="000000"/>
      <w:sz w:val="24"/>
      <w:szCs w:val="24"/>
      <w:u w:val="none"/>
    </w:rPr>
  </w:style>
  <w:style w:type="character" w:customStyle="1" w:styleId="17">
    <w:name w:val="批注框文本 Char"/>
    <w:basedOn w:val="11"/>
    <w:link w:val="4"/>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21</Pages>
  <Words>9954</Words>
  <Characters>11336</Characters>
  <Paragraphs>1344</Paragraphs>
  <TotalTime>7</TotalTime>
  <ScaleCrop>false</ScaleCrop>
  <LinksUpToDate>false</LinksUpToDate>
  <CharactersWithSpaces>11346</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2024-05-26T08:09:00Z</dcterms:created>
  <dc:creator>崔竹英</dc:creator>
  <cp:lastModifiedBy>钟芹香</cp:lastModifiedBy>
  <cp:lastPrinted>2021-07-01T14:50:00Z</cp:lastPrinted>
  <dcterms:modified xsi:type="dcterms:W3CDTF">2024-07-12T10:05:11Z</dcterms:modified>
  <dc:title>《规程》附件3-2：</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y fmtid="{D5CDD505-2E9C-101B-9397-08002B2CF9AE}" pid="3" name="ICV">
    <vt:lpwstr>5C235A0DC6DE458A94A7F97B867EF841_13</vt:lpwstr>
  </property>
</Properties>
</file>