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38B83E">
      <w:pPr>
        <w:wordWrap w:val="0"/>
        <w:spacing w:line="244" w:lineRule="auto"/>
        <w:jc w:val="center"/>
        <w:rPr>
          <w:rFonts w:hint="eastAsia" w:ascii="仿宋" w:hAnsi="仿宋" w:eastAsia="仿宋" w:cs="仿宋"/>
          <w:sz w:val="48"/>
        </w:rPr>
      </w:pPr>
      <w:r>
        <w:rPr>
          <w:rFonts w:hint="eastAsia" w:ascii="仿宋" w:hAnsi="仿宋" w:eastAsia="仿宋" w:cs="仿宋"/>
          <w:b/>
          <w:color w:val="000000"/>
          <w:sz w:val="48"/>
        </w:rPr>
        <w:t>部门整体支出绩效自评报告</w:t>
      </w:r>
    </w:p>
    <w:p w14:paraId="53892291">
      <w:pPr>
        <w:wordWrap w:val="0"/>
        <w:spacing w:line="240" w:lineRule="auto"/>
        <w:ind w:firstLine="0"/>
        <w:jc w:val="both"/>
        <w:rPr>
          <w:rFonts w:hint="eastAsia" w:ascii="仿宋" w:hAnsi="仿宋" w:eastAsia="仿宋" w:cs="仿宋"/>
          <w:color w:val="000000"/>
          <w:sz w:val="21"/>
        </w:rPr>
      </w:pPr>
    </w:p>
    <w:p w14:paraId="4C6A8273">
      <w:pPr>
        <w:wordWrap w:val="0"/>
        <w:spacing w:line="240" w:lineRule="auto"/>
        <w:ind w:firstLine="0"/>
        <w:jc w:val="both"/>
        <w:rPr>
          <w:rFonts w:hint="eastAsia" w:ascii="仿宋" w:hAnsi="仿宋" w:eastAsia="仿宋" w:cs="仿宋"/>
          <w:color w:val="000000"/>
          <w:sz w:val="21"/>
        </w:rPr>
      </w:pPr>
    </w:p>
    <w:p w14:paraId="033B2D7B">
      <w:pPr>
        <w:wordWrap w:val="0"/>
        <w:spacing w:line="240" w:lineRule="auto"/>
        <w:ind w:firstLine="0"/>
        <w:jc w:val="both"/>
        <w:rPr>
          <w:rFonts w:hint="eastAsia" w:ascii="仿宋" w:hAnsi="仿宋" w:eastAsia="仿宋" w:cs="仿宋"/>
          <w:color w:val="000000"/>
          <w:sz w:val="21"/>
        </w:rPr>
      </w:pPr>
    </w:p>
    <w:p w14:paraId="1D887CA8">
      <w:pPr>
        <w:wordWrap w:val="0"/>
        <w:spacing w:line="240" w:lineRule="auto"/>
        <w:ind w:firstLine="0"/>
        <w:jc w:val="both"/>
        <w:rPr>
          <w:rFonts w:hint="eastAsia" w:ascii="仿宋" w:hAnsi="仿宋" w:eastAsia="仿宋" w:cs="仿宋"/>
          <w:color w:val="000000"/>
          <w:sz w:val="21"/>
        </w:rPr>
      </w:pPr>
    </w:p>
    <w:p w14:paraId="6F8E177A">
      <w:pPr>
        <w:wordWrap w:val="0"/>
        <w:spacing w:line="240" w:lineRule="auto"/>
        <w:ind w:firstLine="0"/>
        <w:jc w:val="both"/>
        <w:rPr>
          <w:rFonts w:hint="eastAsia" w:ascii="仿宋" w:hAnsi="仿宋" w:eastAsia="仿宋" w:cs="仿宋"/>
          <w:color w:val="000000"/>
          <w:sz w:val="21"/>
        </w:rPr>
      </w:pPr>
    </w:p>
    <w:p w14:paraId="3BC64C2A">
      <w:pPr>
        <w:wordWrap w:val="0"/>
        <w:spacing w:line="240" w:lineRule="auto"/>
        <w:ind w:firstLine="0"/>
        <w:jc w:val="both"/>
        <w:rPr>
          <w:rFonts w:hint="eastAsia" w:ascii="仿宋" w:hAnsi="仿宋" w:eastAsia="仿宋" w:cs="仿宋"/>
          <w:color w:val="000000"/>
          <w:sz w:val="21"/>
        </w:rPr>
      </w:pPr>
    </w:p>
    <w:p w14:paraId="6EAC4BF4">
      <w:pPr>
        <w:wordWrap w:val="0"/>
        <w:spacing w:line="240" w:lineRule="auto"/>
        <w:ind w:firstLine="0"/>
        <w:jc w:val="both"/>
        <w:rPr>
          <w:rFonts w:hint="eastAsia" w:ascii="仿宋" w:hAnsi="仿宋" w:eastAsia="仿宋" w:cs="仿宋"/>
          <w:color w:val="000000"/>
          <w:sz w:val="21"/>
        </w:rPr>
      </w:pPr>
    </w:p>
    <w:p w14:paraId="385353C4">
      <w:pPr>
        <w:wordWrap w:val="0"/>
        <w:spacing w:line="240" w:lineRule="auto"/>
        <w:ind w:firstLine="0"/>
        <w:jc w:val="both"/>
        <w:rPr>
          <w:rFonts w:hint="eastAsia" w:ascii="仿宋" w:hAnsi="仿宋" w:eastAsia="仿宋" w:cs="仿宋"/>
          <w:color w:val="000000"/>
          <w:sz w:val="21"/>
        </w:rPr>
      </w:pPr>
    </w:p>
    <w:p w14:paraId="6B966AB6">
      <w:pPr>
        <w:wordWrap w:val="0"/>
        <w:spacing w:line="240" w:lineRule="auto"/>
        <w:ind w:firstLine="0"/>
        <w:jc w:val="both"/>
        <w:rPr>
          <w:rFonts w:hint="eastAsia" w:ascii="仿宋" w:hAnsi="仿宋" w:eastAsia="仿宋" w:cs="仿宋"/>
          <w:color w:val="000000"/>
          <w:sz w:val="21"/>
        </w:rPr>
      </w:pPr>
    </w:p>
    <w:p w14:paraId="77C1D67A">
      <w:pPr>
        <w:wordWrap w:val="0"/>
        <w:spacing w:line="240" w:lineRule="auto"/>
        <w:ind w:firstLine="0"/>
        <w:jc w:val="both"/>
        <w:rPr>
          <w:rFonts w:hint="eastAsia" w:ascii="仿宋" w:hAnsi="仿宋" w:eastAsia="仿宋" w:cs="仿宋"/>
          <w:color w:val="000000"/>
          <w:sz w:val="21"/>
        </w:rPr>
      </w:pPr>
    </w:p>
    <w:p w14:paraId="1C642F0A">
      <w:pPr>
        <w:wordWrap w:val="0"/>
        <w:spacing w:line="240" w:lineRule="auto"/>
        <w:ind w:firstLine="0"/>
        <w:jc w:val="both"/>
        <w:rPr>
          <w:rFonts w:hint="eastAsia" w:ascii="仿宋" w:hAnsi="仿宋" w:eastAsia="仿宋" w:cs="仿宋"/>
          <w:color w:val="000000"/>
          <w:sz w:val="21"/>
        </w:rPr>
      </w:pPr>
    </w:p>
    <w:p w14:paraId="1788FCBD">
      <w:pPr>
        <w:wordWrap w:val="0"/>
        <w:spacing w:line="240" w:lineRule="auto"/>
        <w:ind w:firstLine="0"/>
        <w:jc w:val="both"/>
        <w:rPr>
          <w:rFonts w:hint="eastAsia" w:ascii="仿宋" w:hAnsi="仿宋" w:eastAsia="仿宋" w:cs="仿宋"/>
          <w:color w:val="000000"/>
          <w:sz w:val="21"/>
        </w:rPr>
      </w:pPr>
    </w:p>
    <w:p w14:paraId="47DA02D6">
      <w:pPr>
        <w:wordWrap w:val="0"/>
        <w:spacing w:line="240" w:lineRule="auto"/>
        <w:ind w:firstLine="0"/>
        <w:jc w:val="both"/>
        <w:rPr>
          <w:rFonts w:hint="eastAsia" w:ascii="仿宋" w:hAnsi="仿宋" w:eastAsia="仿宋" w:cs="仿宋"/>
          <w:color w:val="000000"/>
          <w:sz w:val="21"/>
        </w:rPr>
      </w:pPr>
    </w:p>
    <w:p w14:paraId="11C6C2D0">
      <w:pPr>
        <w:wordWrap w:val="0"/>
        <w:spacing w:line="240" w:lineRule="auto"/>
        <w:ind w:firstLine="0"/>
        <w:jc w:val="both"/>
        <w:rPr>
          <w:rFonts w:hint="eastAsia" w:ascii="仿宋" w:hAnsi="仿宋" w:eastAsia="仿宋" w:cs="仿宋"/>
          <w:color w:val="000000"/>
          <w:sz w:val="21"/>
        </w:rPr>
      </w:pPr>
    </w:p>
    <w:p w14:paraId="119FF806">
      <w:pPr>
        <w:wordWrap w:val="0"/>
        <w:spacing w:line="240" w:lineRule="auto"/>
        <w:ind w:firstLine="0"/>
        <w:jc w:val="both"/>
        <w:rPr>
          <w:rFonts w:hint="eastAsia" w:ascii="仿宋" w:hAnsi="仿宋" w:eastAsia="仿宋" w:cs="仿宋"/>
          <w:color w:val="000000"/>
          <w:sz w:val="21"/>
        </w:rPr>
      </w:pPr>
    </w:p>
    <w:p w14:paraId="4BFFD0F7">
      <w:pPr>
        <w:wordWrap w:val="0"/>
        <w:spacing w:line="240" w:lineRule="auto"/>
        <w:ind w:firstLine="0"/>
        <w:jc w:val="both"/>
        <w:rPr>
          <w:rFonts w:hint="eastAsia" w:ascii="仿宋" w:hAnsi="仿宋" w:eastAsia="仿宋" w:cs="仿宋"/>
          <w:color w:val="000000"/>
          <w:sz w:val="21"/>
        </w:rPr>
      </w:pPr>
    </w:p>
    <w:p w14:paraId="0279BBD1">
      <w:pPr>
        <w:wordWrap w:val="0"/>
        <w:spacing w:line="240" w:lineRule="auto"/>
        <w:ind w:firstLine="0"/>
        <w:jc w:val="both"/>
        <w:rPr>
          <w:rFonts w:hint="eastAsia" w:ascii="仿宋" w:hAnsi="仿宋" w:eastAsia="仿宋" w:cs="仿宋"/>
          <w:color w:val="000000"/>
          <w:sz w:val="21"/>
        </w:rPr>
      </w:pPr>
    </w:p>
    <w:p w14:paraId="5F2376E0">
      <w:pPr>
        <w:wordWrap w:val="0"/>
        <w:spacing w:line="240" w:lineRule="auto"/>
        <w:ind w:firstLine="0"/>
        <w:jc w:val="both"/>
        <w:rPr>
          <w:rFonts w:hint="eastAsia" w:ascii="仿宋" w:hAnsi="仿宋" w:eastAsia="仿宋" w:cs="仿宋"/>
          <w:color w:val="000000"/>
          <w:sz w:val="21"/>
        </w:rPr>
      </w:pPr>
    </w:p>
    <w:p w14:paraId="77607967">
      <w:pPr>
        <w:wordWrap w:val="0"/>
        <w:spacing w:line="240" w:lineRule="auto"/>
        <w:ind w:firstLine="0"/>
        <w:jc w:val="both"/>
        <w:rPr>
          <w:rFonts w:hint="eastAsia" w:ascii="仿宋" w:hAnsi="仿宋" w:eastAsia="仿宋" w:cs="仿宋"/>
          <w:color w:val="000000"/>
          <w:sz w:val="21"/>
        </w:rPr>
      </w:pPr>
    </w:p>
    <w:p w14:paraId="27D33FB1">
      <w:pPr>
        <w:wordWrap w:val="0"/>
        <w:spacing w:line="240" w:lineRule="auto"/>
        <w:ind w:firstLine="0"/>
        <w:jc w:val="both"/>
        <w:rPr>
          <w:rFonts w:hint="eastAsia" w:ascii="仿宋" w:hAnsi="仿宋" w:eastAsia="仿宋" w:cs="仿宋"/>
          <w:color w:val="000000"/>
          <w:sz w:val="21"/>
        </w:rPr>
      </w:pPr>
    </w:p>
    <w:p w14:paraId="47438491">
      <w:pPr>
        <w:wordWrap w:val="0"/>
        <w:spacing w:line="240" w:lineRule="auto"/>
        <w:ind w:firstLine="0"/>
        <w:jc w:val="both"/>
        <w:rPr>
          <w:rFonts w:hint="eastAsia" w:ascii="仿宋" w:hAnsi="仿宋" w:eastAsia="仿宋" w:cs="仿宋"/>
          <w:color w:val="000000"/>
          <w:sz w:val="21"/>
        </w:rPr>
      </w:pPr>
    </w:p>
    <w:p w14:paraId="5383935F">
      <w:pPr>
        <w:wordWrap w:val="0"/>
        <w:spacing w:line="240" w:lineRule="auto"/>
        <w:ind w:firstLine="0"/>
        <w:jc w:val="both"/>
        <w:rPr>
          <w:rFonts w:hint="eastAsia" w:ascii="仿宋" w:hAnsi="仿宋" w:eastAsia="仿宋" w:cs="仿宋"/>
          <w:color w:val="000000"/>
          <w:sz w:val="21"/>
        </w:rPr>
      </w:pPr>
    </w:p>
    <w:p w14:paraId="79C2B7F1">
      <w:pPr>
        <w:wordWrap w:val="0"/>
        <w:spacing w:line="240" w:lineRule="auto"/>
        <w:ind w:firstLine="0"/>
        <w:jc w:val="both"/>
        <w:rPr>
          <w:rFonts w:hint="eastAsia" w:ascii="仿宋" w:hAnsi="仿宋" w:eastAsia="仿宋" w:cs="仿宋"/>
          <w:color w:val="000000"/>
          <w:sz w:val="21"/>
        </w:rPr>
      </w:pPr>
    </w:p>
    <w:p w14:paraId="7B41407F">
      <w:pPr>
        <w:wordWrap w:val="0"/>
        <w:spacing w:line="240" w:lineRule="auto"/>
        <w:ind w:firstLine="0"/>
        <w:jc w:val="both"/>
        <w:rPr>
          <w:rFonts w:hint="eastAsia" w:ascii="仿宋" w:hAnsi="仿宋" w:eastAsia="仿宋" w:cs="仿宋"/>
          <w:color w:val="000000"/>
          <w:sz w:val="21"/>
        </w:rPr>
      </w:pPr>
    </w:p>
    <w:p w14:paraId="06154FBF">
      <w:pPr>
        <w:wordWrap w:val="0"/>
        <w:spacing w:line="240" w:lineRule="auto"/>
        <w:ind w:firstLine="0"/>
        <w:jc w:val="both"/>
        <w:rPr>
          <w:rFonts w:hint="eastAsia" w:ascii="仿宋" w:hAnsi="仿宋" w:eastAsia="仿宋" w:cs="仿宋"/>
          <w:color w:val="000000"/>
          <w:sz w:val="21"/>
        </w:rPr>
      </w:pPr>
    </w:p>
    <w:p w14:paraId="4D7C416E">
      <w:pPr>
        <w:wordWrap w:val="0"/>
        <w:spacing w:line="240" w:lineRule="auto"/>
        <w:ind w:firstLine="0"/>
        <w:jc w:val="both"/>
        <w:rPr>
          <w:rFonts w:hint="eastAsia" w:ascii="仿宋" w:hAnsi="仿宋" w:eastAsia="仿宋" w:cs="仿宋"/>
          <w:color w:val="000000"/>
          <w:sz w:val="21"/>
        </w:rPr>
      </w:pPr>
    </w:p>
    <w:p w14:paraId="0D6DB980">
      <w:pPr>
        <w:wordWrap w:val="0"/>
        <w:spacing w:line="240" w:lineRule="auto"/>
        <w:ind w:firstLine="0"/>
        <w:jc w:val="both"/>
        <w:rPr>
          <w:rFonts w:hint="eastAsia" w:ascii="仿宋" w:hAnsi="仿宋" w:eastAsia="仿宋" w:cs="仿宋"/>
          <w:color w:val="000000"/>
          <w:sz w:val="21"/>
        </w:rPr>
      </w:pPr>
    </w:p>
    <w:p w14:paraId="370F8A6D">
      <w:pPr>
        <w:wordWrap w:val="0"/>
        <w:spacing w:line="240" w:lineRule="auto"/>
        <w:ind w:firstLine="0"/>
        <w:jc w:val="both"/>
        <w:rPr>
          <w:rFonts w:hint="eastAsia" w:ascii="仿宋" w:hAnsi="仿宋" w:eastAsia="仿宋" w:cs="仿宋"/>
          <w:color w:val="000000"/>
          <w:sz w:val="21"/>
        </w:rPr>
      </w:pPr>
    </w:p>
    <w:p w14:paraId="6A78A22C">
      <w:pPr>
        <w:wordWrap w:val="0"/>
        <w:spacing w:line="240" w:lineRule="auto"/>
        <w:ind w:firstLine="0"/>
        <w:jc w:val="both"/>
        <w:rPr>
          <w:rFonts w:hint="eastAsia" w:ascii="仿宋" w:hAnsi="仿宋" w:eastAsia="仿宋" w:cs="仿宋"/>
          <w:color w:val="000000"/>
          <w:sz w:val="21"/>
        </w:rPr>
      </w:pPr>
    </w:p>
    <w:p w14:paraId="14B4D43D">
      <w:pPr>
        <w:wordWrap w:val="0"/>
        <w:spacing w:line="240" w:lineRule="auto"/>
        <w:ind w:firstLine="0"/>
        <w:jc w:val="both"/>
        <w:rPr>
          <w:rFonts w:hint="eastAsia" w:ascii="仿宋" w:hAnsi="仿宋" w:eastAsia="仿宋" w:cs="仿宋"/>
          <w:color w:val="000000"/>
          <w:sz w:val="21"/>
        </w:rPr>
      </w:pPr>
    </w:p>
    <w:p w14:paraId="2D880AC2">
      <w:pPr>
        <w:wordWrap w:val="0"/>
        <w:spacing w:line="239" w:lineRule="auto"/>
        <w:ind w:firstLine="0"/>
        <w:jc w:val="both"/>
        <w:rPr>
          <w:rFonts w:hint="eastAsia" w:ascii="仿宋" w:hAnsi="仿宋" w:eastAsia="仿宋" w:cs="仿宋"/>
          <w:sz w:val="32"/>
          <w:lang w:val="en-US" w:eastAsia="zh-CN"/>
        </w:rPr>
      </w:pPr>
      <w:r>
        <w:rPr>
          <w:rFonts w:hint="eastAsia" w:ascii="仿宋" w:hAnsi="仿宋" w:eastAsia="仿宋" w:cs="仿宋"/>
          <w:color w:val="000000"/>
          <w:sz w:val="32"/>
        </w:rPr>
        <w:t>部门名称：（公章）</w:t>
      </w:r>
      <w:r>
        <w:rPr>
          <w:rFonts w:hint="eastAsia" w:ascii="仿宋" w:hAnsi="仿宋" w:eastAsia="仿宋" w:cs="仿宋"/>
          <w:color w:val="000000"/>
          <w:sz w:val="32"/>
          <w:lang w:val="en-US" w:eastAsia="zh-CN"/>
        </w:rPr>
        <w:t>广东海上项目训练中心</w:t>
      </w:r>
    </w:p>
    <w:p w14:paraId="691A98E9">
      <w:pPr>
        <w:wordWrap w:val="0"/>
        <w:spacing w:line="240" w:lineRule="auto"/>
        <w:ind w:firstLine="0"/>
        <w:jc w:val="both"/>
        <w:rPr>
          <w:rFonts w:hint="eastAsia" w:ascii="仿宋" w:hAnsi="仿宋" w:eastAsia="仿宋" w:cs="仿宋"/>
          <w:color w:val="000000"/>
          <w:sz w:val="21"/>
        </w:rPr>
      </w:pPr>
    </w:p>
    <w:p w14:paraId="6C350437">
      <w:pPr>
        <w:wordWrap w:val="0"/>
        <w:spacing w:line="239" w:lineRule="auto"/>
        <w:ind w:firstLine="0"/>
        <w:jc w:val="both"/>
        <w:rPr>
          <w:rFonts w:hint="eastAsia" w:ascii="仿宋" w:hAnsi="仿宋" w:eastAsia="仿宋" w:cs="仿宋"/>
          <w:sz w:val="32"/>
        </w:rPr>
      </w:pPr>
      <w:r>
        <w:rPr>
          <w:rFonts w:hint="eastAsia" w:ascii="仿宋" w:hAnsi="仿宋" w:eastAsia="仿宋" w:cs="仿宋"/>
          <w:color w:val="000000"/>
          <w:sz w:val="32"/>
        </w:rPr>
        <w:t>预算单位数量：</w:t>
      </w:r>
      <w:r>
        <w:rPr>
          <w:rFonts w:hint="eastAsia" w:ascii="仿宋" w:hAnsi="仿宋" w:eastAsia="仿宋" w:cs="仿宋"/>
          <w:color w:val="000000"/>
          <w:sz w:val="32"/>
        </w:rPr>
        <w:t>1</w:t>
      </w:r>
    </w:p>
    <w:p w14:paraId="67F58E7F">
      <w:pPr>
        <w:wordWrap w:val="0"/>
        <w:spacing w:line="240" w:lineRule="auto"/>
        <w:ind w:firstLine="0"/>
        <w:jc w:val="both"/>
        <w:rPr>
          <w:rFonts w:hint="eastAsia" w:ascii="仿宋" w:hAnsi="仿宋" w:eastAsia="仿宋" w:cs="仿宋"/>
          <w:color w:val="000000"/>
          <w:sz w:val="21"/>
        </w:rPr>
      </w:pPr>
    </w:p>
    <w:p w14:paraId="117D21C7">
      <w:pPr>
        <w:wordWrap w:val="0"/>
        <w:spacing w:line="239" w:lineRule="auto"/>
        <w:ind w:firstLine="0"/>
        <w:jc w:val="both"/>
        <w:rPr>
          <w:rFonts w:hint="eastAsia" w:ascii="仿宋" w:hAnsi="仿宋" w:eastAsia="仿宋" w:cs="仿宋"/>
          <w:sz w:val="32"/>
          <w:lang w:eastAsia="zh-CN"/>
        </w:rPr>
      </w:pPr>
      <w:r>
        <w:rPr>
          <w:rFonts w:hint="eastAsia" w:ascii="仿宋" w:hAnsi="仿宋" w:eastAsia="仿宋" w:cs="仿宋"/>
          <w:color w:val="000000"/>
          <w:sz w:val="32"/>
        </w:rPr>
        <w:t>填报人：</w:t>
      </w:r>
      <w:r>
        <w:rPr>
          <w:rFonts w:hint="eastAsia" w:ascii="仿宋" w:hAnsi="仿宋" w:eastAsia="仿宋" w:cs="仿宋"/>
          <w:color w:val="000000"/>
          <w:sz w:val="32"/>
          <w:lang w:val="en-US" w:eastAsia="zh-CN"/>
        </w:rPr>
        <w:t>吴锡毫</w:t>
      </w:r>
    </w:p>
    <w:p w14:paraId="54DBB053">
      <w:pPr>
        <w:wordWrap w:val="0"/>
        <w:spacing w:line="360" w:lineRule="auto"/>
        <w:ind w:firstLine="0"/>
        <w:jc w:val="both"/>
        <w:rPr>
          <w:rFonts w:hint="eastAsia" w:ascii="仿宋" w:hAnsi="仿宋" w:eastAsia="仿宋" w:cs="仿宋"/>
          <w:color w:val="000000"/>
          <w:sz w:val="32"/>
          <w:lang w:val="en-US" w:eastAsia="zh-CN"/>
        </w:rPr>
      </w:pPr>
      <w:r>
        <w:rPr>
          <w:rFonts w:hint="eastAsia" w:ascii="仿宋" w:hAnsi="仿宋" w:eastAsia="仿宋" w:cs="仿宋"/>
          <w:color w:val="000000"/>
          <w:sz w:val="32"/>
        </w:rPr>
        <w:t>联系电话</w:t>
      </w:r>
      <w:r>
        <w:rPr>
          <w:rFonts w:hint="eastAsia" w:ascii="仿宋" w:hAnsi="仿宋" w:eastAsia="仿宋" w:cs="仿宋"/>
          <w:color w:val="000000"/>
          <w:sz w:val="32"/>
        </w:rPr>
        <w:t>：</w:t>
      </w:r>
      <w:r>
        <w:rPr>
          <w:rFonts w:hint="eastAsia" w:ascii="仿宋" w:hAnsi="仿宋" w:eastAsia="仿宋" w:cs="仿宋"/>
          <w:color w:val="000000"/>
          <w:sz w:val="32"/>
          <w:lang w:val="en-US" w:eastAsia="zh-CN"/>
        </w:rPr>
        <w:t>0660-3451705</w:t>
      </w:r>
    </w:p>
    <w:p w14:paraId="3D0DFA83">
      <w:pPr>
        <w:wordWrap w:val="0"/>
        <w:spacing w:line="360" w:lineRule="auto"/>
        <w:ind w:firstLine="0"/>
        <w:jc w:val="both"/>
        <w:rPr>
          <w:rFonts w:hint="eastAsia" w:ascii="仿宋" w:hAnsi="仿宋" w:eastAsia="仿宋" w:cs="仿宋"/>
          <w:color w:val="000000"/>
          <w:sz w:val="32"/>
        </w:rPr>
      </w:pPr>
      <w:r>
        <w:rPr>
          <w:rFonts w:hint="eastAsia" w:ascii="仿宋" w:hAnsi="仿宋" w:eastAsia="仿宋" w:cs="仿宋"/>
          <w:color w:val="000000"/>
          <w:sz w:val="32"/>
        </w:rPr>
        <w:t>填报日期</w:t>
      </w:r>
      <w:r>
        <w:rPr>
          <w:rFonts w:hint="eastAsia" w:ascii="仿宋" w:hAnsi="仿宋" w:eastAsia="仿宋" w:cs="仿宋"/>
          <w:color w:val="000000"/>
          <w:sz w:val="32"/>
        </w:rPr>
        <w:t>：2024</w:t>
      </w:r>
      <w:r>
        <w:rPr>
          <w:rFonts w:hint="eastAsia" w:ascii="仿宋" w:hAnsi="仿宋" w:eastAsia="仿宋" w:cs="仿宋"/>
          <w:color w:val="000000"/>
          <w:sz w:val="32"/>
        </w:rPr>
        <w:t>年</w:t>
      </w:r>
      <w:r>
        <w:rPr>
          <w:rFonts w:hint="eastAsia" w:ascii="仿宋" w:hAnsi="仿宋" w:eastAsia="仿宋" w:cs="仿宋"/>
          <w:color w:val="000000"/>
          <w:sz w:val="32"/>
          <w:lang w:val="en-US" w:eastAsia="zh-CN"/>
        </w:rPr>
        <w:t>7</w:t>
      </w:r>
      <w:r>
        <w:rPr>
          <w:rFonts w:hint="eastAsia" w:ascii="仿宋" w:hAnsi="仿宋" w:eastAsia="仿宋" w:cs="仿宋"/>
          <w:color w:val="000000"/>
          <w:sz w:val="32"/>
        </w:rPr>
        <w:t>月</w:t>
      </w:r>
      <w:r>
        <w:rPr>
          <w:rFonts w:hint="eastAsia" w:ascii="仿宋" w:hAnsi="仿宋" w:eastAsia="仿宋" w:cs="仿宋"/>
          <w:color w:val="000000"/>
          <w:sz w:val="32"/>
        </w:rPr>
        <w:t>12</w:t>
      </w:r>
      <w:r>
        <w:rPr>
          <w:rFonts w:hint="eastAsia" w:ascii="仿宋" w:hAnsi="仿宋" w:eastAsia="仿宋" w:cs="仿宋"/>
          <w:color w:val="000000"/>
          <w:sz w:val="32"/>
        </w:rPr>
        <w:t>日</w:t>
      </w:r>
    </w:p>
    <w:p w14:paraId="2CF190BD">
      <w:pPr>
        <w:wordWrap w:val="0"/>
        <w:spacing w:line="360" w:lineRule="auto"/>
        <w:ind w:firstLine="0"/>
        <w:jc w:val="both"/>
        <w:rPr>
          <w:rFonts w:hint="eastAsia" w:ascii="仿宋" w:hAnsi="仿宋" w:eastAsia="仿宋" w:cs="仿宋"/>
          <w:color w:val="000000"/>
          <w:sz w:val="32"/>
        </w:rPr>
      </w:pPr>
    </w:p>
    <w:p w14:paraId="2F124FA6">
      <w:pPr>
        <w:wordWrap w:val="0"/>
        <w:spacing w:line="239" w:lineRule="auto"/>
        <w:ind w:firstLine="600"/>
        <w:jc w:val="both"/>
        <w:rPr>
          <w:rFonts w:hint="eastAsia" w:ascii="仿宋" w:hAnsi="仿宋" w:eastAsia="仿宋" w:cs="仿宋"/>
          <w:sz w:val="32"/>
          <w:szCs w:val="32"/>
        </w:rPr>
        <w:sectPr>
          <w:headerReference r:id="rId3" w:type="default"/>
          <w:footerReference r:id="rId4" w:type="default"/>
          <w:type w:val="continuous"/>
          <w:pgSz w:w="11900" w:h="16820"/>
          <w:pgMar w:top="2640" w:right="2160" w:bottom="1680" w:left="2160" w:header="1320" w:footer="840" w:gutter="0"/>
          <w:cols w:space="720" w:num="1"/>
        </w:sectPr>
      </w:pPr>
      <w:r>
        <w:rPr>
          <w:rFonts w:hint="eastAsia" w:ascii="仿宋" w:hAnsi="仿宋" w:eastAsia="仿宋" w:cs="仿宋"/>
          <w:b/>
          <w:color w:val="000000"/>
          <w:sz w:val="32"/>
          <w:szCs w:val="32"/>
        </w:rPr>
        <w:t>一、部门基本情况</w:t>
      </w:r>
    </w:p>
    <w:p w14:paraId="412F7CE9">
      <w:pPr>
        <w:wordWrap w:val="0"/>
        <w:spacing w:line="239" w:lineRule="auto"/>
        <w:ind w:firstLine="800"/>
        <w:jc w:val="both"/>
        <w:rPr>
          <w:rFonts w:hint="eastAsia" w:ascii="仿宋" w:hAnsi="仿宋" w:eastAsia="仿宋" w:cs="仿宋"/>
          <w:sz w:val="32"/>
          <w:szCs w:val="32"/>
        </w:rPr>
      </w:pPr>
      <w:r>
        <w:rPr>
          <w:rFonts w:hint="eastAsia" w:ascii="仿宋" w:hAnsi="仿宋" w:eastAsia="仿宋" w:cs="仿宋"/>
          <w:b/>
          <w:color w:val="000000"/>
          <w:sz w:val="32"/>
          <w:szCs w:val="32"/>
        </w:rPr>
        <w:t>（一）部门职能</w:t>
      </w:r>
    </w:p>
    <w:p w14:paraId="27021D65">
      <w:pPr>
        <w:wordWrap w:val="0"/>
        <w:spacing w:line="360" w:lineRule="auto"/>
        <w:ind w:firstLine="680"/>
        <w:jc w:val="both"/>
        <w:rPr>
          <w:rFonts w:hint="eastAsia" w:ascii="仿宋" w:hAnsi="仿宋" w:eastAsia="仿宋" w:cs="仿宋"/>
          <w:color w:val="000000"/>
          <w:sz w:val="32"/>
          <w:szCs w:val="32"/>
        </w:rPr>
      </w:pPr>
      <w:r>
        <w:rPr>
          <w:rFonts w:hint="eastAsia" w:ascii="仿宋" w:hAnsi="仿宋" w:eastAsia="仿宋" w:cs="仿宋"/>
          <w:color w:val="000000"/>
          <w:sz w:val="32"/>
          <w:szCs w:val="32"/>
        </w:rPr>
        <w:t>1．基本情况</w:t>
      </w:r>
    </w:p>
    <w:p w14:paraId="6345BCD6">
      <w:pPr>
        <w:wordWrap w:val="0"/>
        <w:spacing w:line="360" w:lineRule="auto"/>
        <w:ind w:firstLine="640" w:firstLineChars="200"/>
        <w:jc w:val="both"/>
        <w:rPr>
          <w:rFonts w:hint="eastAsia" w:ascii="仿宋" w:hAnsi="仿宋" w:eastAsia="仿宋" w:cs="仿宋"/>
          <w:color w:val="000000"/>
          <w:sz w:val="32"/>
          <w:szCs w:val="32"/>
        </w:rPr>
      </w:pPr>
      <w:r>
        <w:rPr>
          <w:rFonts w:hint="eastAsia" w:ascii="仿宋" w:hAnsi="仿宋" w:eastAsia="仿宋" w:cs="仿宋"/>
          <w:sz w:val="32"/>
          <w:szCs w:val="32"/>
        </w:rPr>
        <w:t>广东海上项目训练中心是广东省体育局的直属二级机构。 2012年8月省体育局所属事业单位分类改革，省编办《印发广东海 上项目训练中心所属事业单位分类改革方案的通知》（粤机编办 〔2012〕224号）批准，保留广东海上项目训练中心，公益一类， 正处级。主要任务：承担汕尾市遮浪海上运动场和潮阳海门帆板 基地的日常管理与运作；承担帆板、帆船项目的布局、选材、训 练和竞赛工作。</w:t>
      </w:r>
    </w:p>
    <w:p w14:paraId="52825FD0">
      <w:pPr>
        <w:wordWrap w:val="0"/>
        <w:spacing w:line="360" w:lineRule="auto"/>
        <w:ind w:firstLine="640"/>
        <w:jc w:val="both"/>
        <w:rPr>
          <w:rFonts w:hint="eastAsia" w:ascii="仿宋" w:hAnsi="仿宋" w:eastAsia="仿宋" w:cs="仿宋"/>
          <w:color w:val="000000"/>
          <w:sz w:val="32"/>
          <w:szCs w:val="32"/>
        </w:rPr>
      </w:pPr>
      <w:r>
        <w:rPr>
          <w:rFonts w:hint="eastAsia" w:ascii="仿宋" w:hAnsi="仿宋" w:eastAsia="仿宋" w:cs="仿宋"/>
          <w:color w:val="000000"/>
          <w:sz w:val="32"/>
          <w:szCs w:val="32"/>
        </w:rPr>
        <w:t>2．机构人员情况</w:t>
      </w:r>
    </w:p>
    <w:p w14:paraId="5B62E1C6">
      <w:pPr>
        <w:wordWrap w:val="0"/>
        <w:spacing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中心设置两个部门，三个队伍,分别为办公室,训练科，帆板 队、帆船队及冲浪队；事业编制68人，其中财政核拨63名，自筹5 名。2023年底实际正式职工52人(其中管理人员及专技人员17人, 运动员35人),聘用人员21人；年末实有人数为73人及退休人员3 人。</w:t>
      </w:r>
    </w:p>
    <w:p w14:paraId="68CC6551">
      <w:pPr>
        <w:wordWrap w:val="0"/>
        <w:spacing w:line="360" w:lineRule="auto"/>
        <w:ind w:firstLine="643" w:firstLineChars="200"/>
        <w:jc w:val="both"/>
        <w:rPr>
          <w:rFonts w:hint="eastAsia" w:ascii="仿宋" w:hAnsi="仿宋" w:eastAsia="仿宋" w:cs="仿宋"/>
          <w:sz w:val="32"/>
          <w:szCs w:val="32"/>
        </w:rPr>
      </w:pPr>
      <w:r>
        <w:rPr>
          <w:rFonts w:hint="eastAsia" w:ascii="仿宋" w:hAnsi="仿宋" w:eastAsia="仿宋" w:cs="仿宋"/>
          <w:b/>
          <w:color w:val="000000"/>
          <w:sz w:val="32"/>
          <w:szCs w:val="32"/>
        </w:rPr>
        <w:t>（二）年度总体工作和重点工作任务</w:t>
      </w:r>
    </w:p>
    <w:p w14:paraId="34983EEB">
      <w:pPr>
        <w:wordWrap w:val="0"/>
        <w:spacing w:line="302" w:lineRule="auto"/>
        <w:ind w:left="20" w:right="380" w:firstLine="680"/>
        <w:jc w:val="both"/>
        <w:rPr>
          <w:rFonts w:hint="eastAsia" w:ascii="仿宋" w:hAnsi="仿宋" w:eastAsia="仿宋" w:cs="仿宋"/>
          <w:sz w:val="32"/>
          <w:szCs w:val="32"/>
        </w:rPr>
        <w:sectPr>
          <w:footerReference r:id="rId5" w:type="default"/>
          <w:type w:val="continuous"/>
          <w:pgSz w:w="11900" w:h="16820"/>
          <w:pgMar w:top="1680" w:right="1200" w:bottom="1920" w:left="1200" w:header="840" w:footer="960" w:gutter="0"/>
          <w:cols w:space="720" w:num="1"/>
        </w:sectPr>
      </w:pPr>
      <w:r>
        <w:rPr>
          <w:rFonts w:hint="eastAsia" w:ascii="仿宋" w:hAnsi="仿宋" w:eastAsia="仿宋" w:cs="仿宋"/>
          <w:color w:val="000000"/>
          <w:sz w:val="32"/>
          <w:szCs w:val="32"/>
        </w:rPr>
        <w:t>中心围绕2023年“有序备战，严管狠练，提高备战水平”的年度重点任务，总体工作如下：</w:t>
      </w:r>
    </w:p>
    <w:p w14:paraId="7569BAEE">
      <w:pPr>
        <w:keepNext w:val="0"/>
        <w:keepLines w:val="0"/>
        <w:pageBreakBefore w:val="0"/>
        <w:widowControl w:val="0"/>
        <w:pBdr>
          <w:bottom w:val="none" w:color="auto" w:sz="0" w:space="31"/>
        </w:pBdr>
        <w:kinsoku/>
        <w:overflowPunct/>
        <w:topLinePunct w:val="0"/>
        <w:autoSpaceDE/>
        <w:autoSpaceDN w:val="0"/>
        <w:bidi w:val="0"/>
        <w:adjustRightInd w:val="0"/>
        <w:snapToGrid w:val="0"/>
        <w:spacing w:line="60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sz w:val="32"/>
          <w:szCs w:val="32"/>
        </w:rPr>
        <w:t>2023年，</w:t>
      </w:r>
      <w:r>
        <w:rPr>
          <w:rFonts w:hint="eastAsia" w:ascii="仿宋" w:hAnsi="仿宋" w:eastAsia="仿宋" w:cs="仿宋"/>
          <w:sz w:val="32"/>
          <w:szCs w:val="32"/>
          <w:lang w:val="en-US" w:eastAsia="zh-CN"/>
        </w:rPr>
        <w:t>广东海上项目训练中心</w:t>
      </w:r>
      <w:r>
        <w:rPr>
          <w:rFonts w:hint="eastAsia" w:ascii="仿宋" w:hAnsi="仿宋" w:eastAsia="仿宋" w:cs="仿宋"/>
          <w:b w:val="0"/>
          <w:bCs w:val="0"/>
          <w:sz w:val="32"/>
          <w:szCs w:val="32"/>
          <w:lang w:val="en-US" w:eastAsia="zh-CN"/>
        </w:rPr>
        <w:t>在体育局的领导和指导下，</w:t>
      </w:r>
      <w:r>
        <w:rPr>
          <w:rFonts w:hint="eastAsia" w:ascii="仿宋" w:hAnsi="仿宋" w:eastAsia="仿宋" w:cs="仿宋"/>
          <w:sz w:val="32"/>
          <w:szCs w:val="32"/>
        </w:rPr>
        <w:t>坚持以习近平新时代中国特色社会主义思想为指导，深入贯彻党的二十大精神和习近平总书记视察广东及关于体育的重要</w:t>
      </w:r>
      <w:r>
        <w:rPr>
          <w:rFonts w:hint="eastAsia" w:ascii="仿宋" w:hAnsi="仿宋" w:eastAsia="仿宋" w:cs="仿宋"/>
          <w:color w:val="000000"/>
          <w:sz w:val="32"/>
          <w:szCs w:val="32"/>
        </w:rPr>
        <w:t>论述</w:t>
      </w:r>
      <w:r>
        <w:rPr>
          <w:rFonts w:hint="eastAsia" w:ascii="仿宋" w:hAnsi="仿宋" w:eastAsia="仿宋" w:cs="仿宋"/>
          <w:sz w:val="32"/>
          <w:szCs w:val="32"/>
        </w:rPr>
        <w:t>和重要指示批示精神</w:t>
      </w:r>
      <w:r>
        <w:rPr>
          <w:rFonts w:hint="eastAsia" w:ascii="仿宋" w:hAnsi="仿宋" w:eastAsia="仿宋" w:cs="仿宋"/>
          <w:b w:val="0"/>
          <w:bCs w:val="0"/>
          <w:sz w:val="32"/>
          <w:szCs w:val="32"/>
          <w:lang w:val="en-US" w:eastAsia="zh-CN"/>
        </w:rPr>
        <w:t>，进一步加强组织建设，加强党员思想作风教育，积极开展多种形式的组织活动，充分发挥了党组织的战斗堡垒作用和共产党员的先锋模范作用，推动了全中心工作的顺利开展</w:t>
      </w:r>
      <w:r>
        <w:rPr>
          <w:rFonts w:hint="eastAsia" w:ascii="仿宋" w:hAnsi="仿宋" w:eastAsia="仿宋" w:cs="仿宋"/>
          <w:sz w:val="32"/>
          <w:szCs w:val="32"/>
        </w:rPr>
        <w:t>，</w:t>
      </w:r>
      <w:r>
        <w:rPr>
          <w:rFonts w:hint="eastAsia" w:ascii="仿宋" w:hAnsi="仿宋" w:eastAsia="仿宋" w:cs="仿宋"/>
          <w:sz w:val="32"/>
          <w:szCs w:val="32"/>
          <w:lang w:val="en-US" w:eastAsia="zh-CN"/>
        </w:rPr>
        <w:t>助力</w:t>
      </w:r>
      <w:r>
        <w:rPr>
          <w:rFonts w:hint="eastAsia" w:ascii="仿宋" w:hAnsi="仿宋" w:eastAsia="仿宋" w:cs="仿宋"/>
          <w:sz w:val="32"/>
          <w:szCs w:val="32"/>
        </w:rPr>
        <w:t>推进广东体育事业高质量发展。</w:t>
      </w:r>
      <w:r>
        <w:rPr>
          <w:rFonts w:hint="eastAsia" w:ascii="仿宋" w:hAnsi="仿宋" w:eastAsia="仿宋" w:cs="仿宋"/>
          <w:color w:val="000000"/>
          <w:sz w:val="32"/>
          <w:szCs w:val="32"/>
        </w:rPr>
        <w:t xml:space="preserve">保障中心后勤正常运转，做好队伍梯队建设，完善运动员参赛阵容，锻炼队伍，提高竞技水平，力争2024年奥运会我中心有运动员参赛、亚运会夺得1枚金牌2025年粤港澳全运会完成1-2枚金牌的总目标。 </w:t>
      </w:r>
    </w:p>
    <w:p w14:paraId="5F52B545">
      <w:pPr>
        <w:keepNext w:val="0"/>
        <w:keepLines w:val="0"/>
        <w:pageBreakBefore w:val="0"/>
        <w:widowControl w:val="0"/>
        <w:pBdr>
          <w:bottom w:val="none" w:color="auto" w:sz="0" w:space="31"/>
        </w:pBdr>
        <w:kinsoku/>
        <w:overflowPunct/>
        <w:topLinePunct w:val="0"/>
        <w:autoSpaceDE/>
        <w:autoSpaceDN w:val="0"/>
        <w:bidi w:val="0"/>
        <w:adjustRightInd w:val="0"/>
        <w:snapToGrid w:val="0"/>
        <w:spacing w:line="600" w:lineRule="exact"/>
        <w:ind w:firstLine="643" w:firstLineChars="200"/>
        <w:textAlignment w:val="auto"/>
        <w:rPr>
          <w:rFonts w:hint="eastAsia" w:ascii="仿宋" w:hAnsi="仿宋" w:eastAsia="仿宋" w:cs="仿宋"/>
          <w:b/>
          <w:color w:val="000000"/>
          <w:sz w:val="32"/>
          <w:szCs w:val="32"/>
        </w:rPr>
      </w:pPr>
      <w:r>
        <w:rPr>
          <w:rFonts w:hint="eastAsia" w:ascii="仿宋" w:hAnsi="仿宋" w:eastAsia="仿宋" w:cs="仿宋"/>
          <w:b/>
          <w:color w:val="000000"/>
          <w:sz w:val="32"/>
          <w:szCs w:val="32"/>
        </w:rPr>
        <w:t>（三）部门整体支出绩效目标</w:t>
      </w:r>
    </w:p>
    <w:p w14:paraId="676937BB">
      <w:pPr>
        <w:keepNext w:val="0"/>
        <w:keepLines w:val="0"/>
        <w:pageBreakBefore w:val="0"/>
        <w:widowControl w:val="0"/>
        <w:pBdr>
          <w:bottom w:val="none" w:color="auto" w:sz="0" w:space="31"/>
        </w:pBdr>
        <w:kinsoku/>
        <w:overflowPunct/>
        <w:topLinePunct w:val="0"/>
        <w:autoSpaceDE/>
        <w:autoSpaceDN w:val="0"/>
        <w:bidi w:val="0"/>
        <w:adjustRightInd w:val="0"/>
        <w:snapToGrid w:val="0"/>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2023年，广东海上中心在体育局的领导和指导下</w:t>
      </w:r>
      <w:r>
        <w:rPr>
          <w:rFonts w:hint="eastAsia" w:ascii="仿宋" w:hAnsi="仿宋" w:eastAsia="仿宋" w:cs="仿宋"/>
          <w:sz w:val="32"/>
          <w:szCs w:val="32"/>
          <w:lang w:eastAsia="zh-CN"/>
        </w:rPr>
        <w:t>，</w:t>
      </w:r>
      <w:r>
        <w:rPr>
          <w:rFonts w:hint="eastAsia" w:ascii="仿宋" w:hAnsi="仿宋" w:eastAsia="仿宋" w:cs="仿宋"/>
          <w:sz w:val="32"/>
          <w:szCs w:val="32"/>
        </w:rPr>
        <w:t>坚持以习近平新时代中国特色社会主义思想为指导，深入贯彻党的二十大精神和习近平总书记视察广东及关于体育的重要论述和重要指示批示精神，按照党的基层组织工作条例要求，进一步加强组织建设，加强党员思想作风教育，积极开展多种形式的组织活动，充分发挥了党组织的战斗堡垒作用和共产党员的先锋模范作用，推动了全中心工作的顺利开展，助力推进广东体育事业高质量发展，2023年以来，在杭州亚运会上我中心运动员毕焜夺得水翼帆板项目金牌，亚洲帆船锦标赛暨巴黎奥运会亚洲区资格赛上我中心运动员麦汇聪/陈琳琳在混合诺卡拉17级双体船比赛中一举夺魁，均为中国队斩获奥运会参赛资格，圆满完成亚运年的比赛任务。</w:t>
      </w:r>
    </w:p>
    <w:p w14:paraId="7ABD6BD8">
      <w:pPr>
        <w:keepNext w:val="0"/>
        <w:keepLines w:val="0"/>
        <w:pageBreakBefore w:val="0"/>
        <w:widowControl w:val="0"/>
        <w:numPr>
          <w:ilvl w:val="0"/>
          <w:numId w:val="1"/>
        </w:numPr>
        <w:pBdr>
          <w:bottom w:val="none" w:color="auto" w:sz="0" w:space="31"/>
        </w:pBdr>
        <w:kinsoku/>
        <w:overflowPunct/>
        <w:topLinePunct w:val="0"/>
        <w:autoSpaceDE/>
        <w:autoSpaceDN w:val="0"/>
        <w:bidi w:val="0"/>
        <w:adjustRightInd w:val="0"/>
        <w:snapToGrid w:val="0"/>
        <w:spacing w:line="600" w:lineRule="exact"/>
        <w:ind w:firstLine="643" w:firstLineChars="200"/>
        <w:textAlignment w:val="auto"/>
        <w:rPr>
          <w:rFonts w:hint="eastAsia" w:ascii="仿宋" w:hAnsi="仿宋" w:eastAsia="仿宋" w:cs="仿宋"/>
          <w:b/>
          <w:color w:val="000000"/>
          <w:sz w:val="32"/>
          <w:szCs w:val="32"/>
        </w:rPr>
      </w:pPr>
      <w:r>
        <w:rPr>
          <w:rFonts w:hint="eastAsia" w:ascii="仿宋" w:hAnsi="仿宋" w:eastAsia="仿宋" w:cs="仿宋"/>
          <w:b/>
          <w:color w:val="000000"/>
          <w:sz w:val="32"/>
          <w:szCs w:val="32"/>
        </w:rPr>
        <w:t>部门整体支出情况（以决算数为统计口径）</w:t>
      </w:r>
    </w:p>
    <w:p w14:paraId="632F2446">
      <w:pPr>
        <w:keepNext w:val="0"/>
        <w:keepLines w:val="0"/>
        <w:pageBreakBefore w:val="0"/>
        <w:widowControl w:val="0"/>
        <w:numPr>
          <w:numId w:val="0"/>
        </w:numPr>
        <w:pBdr>
          <w:bottom w:val="none" w:color="auto" w:sz="0" w:space="31"/>
        </w:pBdr>
        <w:kinsoku/>
        <w:overflowPunct/>
        <w:topLinePunct w:val="0"/>
        <w:autoSpaceDE/>
        <w:autoSpaceDN w:val="0"/>
        <w:bidi w:val="0"/>
        <w:adjustRightInd w:val="0"/>
        <w:snapToGrid w:val="0"/>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color w:val="000000"/>
          <w:sz w:val="32"/>
          <w:szCs w:val="32"/>
        </w:rPr>
        <w:t>1、2023年收入支出总体情况：</w:t>
      </w:r>
    </w:p>
    <w:p w14:paraId="7AC59559">
      <w:pPr>
        <w:wordWrap w:val="0"/>
        <w:spacing w:line="240" w:lineRule="auto"/>
        <w:ind w:firstLine="0"/>
        <w:jc w:val="both"/>
        <w:rPr>
          <w:rFonts w:hint="eastAsia" w:ascii="仿宋" w:hAnsi="仿宋" w:eastAsia="仿宋" w:cs="仿宋"/>
          <w:color w:val="000000"/>
          <w:sz w:val="32"/>
          <w:szCs w:val="32"/>
        </w:rPr>
      </w:pPr>
    </w:p>
    <w:p w14:paraId="6B198185">
      <w:pPr>
        <w:wordWrap w:val="0"/>
        <w:spacing w:line="326" w:lineRule="auto"/>
        <w:ind w:left="20" w:right="260" w:firstLine="700"/>
        <w:jc w:val="both"/>
        <w:rPr>
          <w:rFonts w:hint="eastAsia" w:ascii="仿宋" w:hAnsi="仿宋" w:eastAsia="仿宋" w:cs="仿宋"/>
          <w:color w:val="000000"/>
          <w:sz w:val="32"/>
          <w:szCs w:val="32"/>
        </w:rPr>
      </w:pPr>
      <w:r>
        <w:rPr>
          <w:rFonts w:hint="eastAsia" w:ascii="仿宋" w:hAnsi="仿宋" w:eastAsia="仿宋" w:cs="仿宋"/>
          <w:color w:val="000000"/>
          <w:sz w:val="32"/>
          <w:szCs w:val="32"/>
        </w:rPr>
        <w:t>中心2023年全年实际收入</w:t>
      </w:r>
      <w:r>
        <w:rPr>
          <w:rFonts w:hint="eastAsia" w:ascii="仿宋" w:hAnsi="仿宋" w:eastAsia="仿宋" w:cs="仿宋"/>
          <w:color w:val="000000"/>
          <w:sz w:val="32"/>
          <w:szCs w:val="32"/>
          <w:lang w:val="en-US" w:eastAsia="zh-CN"/>
        </w:rPr>
        <w:t>13272.1</w:t>
      </w:r>
      <w:r>
        <w:rPr>
          <w:rFonts w:hint="eastAsia" w:ascii="仿宋" w:hAnsi="仿宋" w:eastAsia="仿宋" w:cs="仿宋"/>
          <w:color w:val="000000"/>
          <w:sz w:val="32"/>
          <w:szCs w:val="32"/>
        </w:rPr>
        <w:t>万元，预算收入</w:t>
      </w:r>
      <w:r>
        <w:rPr>
          <w:rFonts w:hint="eastAsia" w:ascii="仿宋" w:hAnsi="仿宋" w:eastAsia="仿宋" w:cs="仿宋"/>
          <w:color w:val="000000"/>
          <w:sz w:val="32"/>
          <w:szCs w:val="32"/>
          <w:lang w:val="en-US" w:eastAsia="zh-CN"/>
        </w:rPr>
        <w:t>13352.09</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实际支出</w:t>
      </w:r>
      <w:r>
        <w:rPr>
          <w:rFonts w:hint="eastAsia" w:ascii="仿宋" w:hAnsi="仿宋" w:eastAsia="仿宋" w:cs="仿宋"/>
          <w:color w:val="000000"/>
          <w:sz w:val="32"/>
          <w:szCs w:val="32"/>
          <w:lang w:val="en-US" w:eastAsia="zh-CN"/>
        </w:rPr>
        <w:t>5663.84</w:t>
      </w:r>
      <w:r>
        <w:rPr>
          <w:rFonts w:hint="eastAsia" w:ascii="仿宋" w:hAnsi="仿宋" w:eastAsia="仿宋" w:cs="仿宋"/>
          <w:color w:val="000000"/>
          <w:sz w:val="32"/>
          <w:szCs w:val="32"/>
        </w:rPr>
        <w:t>万元，预算支出</w:t>
      </w:r>
      <w:r>
        <w:rPr>
          <w:rFonts w:hint="eastAsia" w:ascii="仿宋" w:hAnsi="仿宋" w:eastAsia="仿宋" w:cs="仿宋"/>
          <w:color w:val="000000"/>
          <w:sz w:val="32"/>
          <w:szCs w:val="32"/>
          <w:lang w:val="en-US" w:eastAsia="zh-CN"/>
        </w:rPr>
        <w:t>5700.47</w:t>
      </w:r>
      <w:r>
        <w:rPr>
          <w:rFonts w:hint="eastAsia" w:ascii="仿宋" w:hAnsi="仿宋" w:eastAsia="仿宋" w:cs="仿宋"/>
          <w:color w:val="000000"/>
          <w:sz w:val="32"/>
          <w:szCs w:val="32"/>
        </w:rPr>
        <w:t>万元，其中基本支出</w:t>
      </w:r>
      <w:r>
        <w:rPr>
          <w:rFonts w:hint="eastAsia" w:ascii="仿宋" w:hAnsi="仿宋" w:eastAsia="仿宋" w:cs="仿宋"/>
          <w:color w:val="000000"/>
          <w:sz w:val="32"/>
          <w:szCs w:val="32"/>
          <w:lang w:val="en-US" w:eastAsia="zh-CN"/>
        </w:rPr>
        <w:t>1906.02</w:t>
      </w:r>
      <w:r>
        <w:rPr>
          <w:rFonts w:hint="eastAsia" w:ascii="仿宋" w:hAnsi="仿宋" w:eastAsia="仿宋" w:cs="仿宋"/>
          <w:color w:val="000000"/>
          <w:sz w:val="32"/>
          <w:szCs w:val="32"/>
        </w:rPr>
        <w:t>万元，占比为</w:t>
      </w:r>
      <w:r>
        <w:rPr>
          <w:rFonts w:hint="eastAsia" w:ascii="仿宋" w:hAnsi="仿宋" w:eastAsia="仿宋" w:cs="仿宋"/>
          <w:color w:val="000000"/>
          <w:sz w:val="32"/>
          <w:szCs w:val="32"/>
          <w:lang w:val="en-US" w:eastAsia="zh-CN"/>
        </w:rPr>
        <w:t>33.65</w:t>
      </w:r>
      <w:r>
        <w:rPr>
          <w:rFonts w:hint="eastAsia" w:ascii="仿宋" w:hAnsi="仿宋" w:eastAsia="仿宋" w:cs="仿宋"/>
          <w:color w:val="000000"/>
          <w:sz w:val="32"/>
          <w:szCs w:val="32"/>
        </w:rPr>
        <w:t>％，项目支出</w:t>
      </w:r>
      <w:r>
        <w:rPr>
          <w:rFonts w:hint="eastAsia" w:ascii="仿宋" w:hAnsi="仿宋" w:eastAsia="仿宋" w:cs="仿宋"/>
          <w:color w:val="000000"/>
          <w:sz w:val="32"/>
          <w:szCs w:val="32"/>
          <w:lang w:val="en-US" w:eastAsia="zh-CN"/>
        </w:rPr>
        <w:t>3757.82</w:t>
      </w:r>
      <w:r>
        <w:rPr>
          <w:rFonts w:hint="eastAsia" w:ascii="仿宋" w:hAnsi="仿宋" w:eastAsia="仿宋" w:cs="仿宋"/>
          <w:color w:val="000000"/>
          <w:sz w:val="32"/>
          <w:szCs w:val="32"/>
        </w:rPr>
        <w:t>万元，占比</w:t>
      </w:r>
      <w:r>
        <w:rPr>
          <w:rFonts w:hint="eastAsia" w:ascii="仿宋" w:hAnsi="仿宋" w:eastAsia="仿宋" w:cs="仿宋"/>
          <w:color w:val="000000"/>
          <w:sz w:val="32"/>
          <w:szCs w:val="32"/>
          <w:lang w:val="en-US" w:eastAsia="zh-CN"/>
        </w:rPr>
        <w:t>66.35</w:t>
      </w:r>
      <w:r>
        <w:rPr>
          <w:rFonts w:hint="eastAsia" w:ascii="仿宋" w:hAnsi="仿宋" w:eastAsia="仿宋" w:cs="仿宋"/>
          <w:color w:val="000000"/>
          <w:sz w:val="32"/>
          <w:szCs w:val="32"/>
        </w:rPr>
        <w:t>％。各明细如下：</w:t>
      </w:r>
    </w:p>
    <w:p w14:paraId="7946BF2D">
      <w:pPr>
        <w:wordWrap w:val="0"/>
        <w:spacing w:line="240" w:lineRule="auto"/>
        <w:ind w:firstLine="0"/>
        <w:jc w:val="both"/>
        <w:rPr>
          <w:rFonts w:hint="eastAsia" w:ascii="仿宋" w:hAnsi="仿宋" w:eastAsia="仿宋" w:cs="仿宋"/>
          <w:color w:val="000000"/>
          <w:sz w:val="32"/>
          <w:szCs w:val="32"/>
        </w:rPr>
      </w:pPr>
    </w:p>
    <w:p w14:paraId="11615479">
      <w:pPr>
        <w:wordWrap w:val="0"/>
        <w:spacing w:line="360" w:lineRule="auto"/>
        <w:ind w:firstLine="7820"/>
        <w:jc w:val="right"/>
        <w:rPr>
          <w:rFonts w:hint="eastAsia" w:ascii="仿宋" w:hAnsi="仿宋" w:eastAsia="仿宋" w:cs="仿宋"/>
          <w:sz w:val="32"/>
          <w:szCs w:val="32"/>
        </w:rPr>
      </w:pPr>
      <w:r>
        <w:rPr>
          <w:rFonts w:hint="eastAsia" w:ascii="仿宋" w:hAnsi="仿宋" w:eastAsia="仿宋" w:cs="仿宋"/>
          <w:color w:val="000000"/>
          <w:sz w:val="32"/>
          <w:szCs w:val="32"/>
        </w:rPr>
        <w:t>（单位：万元）</w:t>
      </w:r>
    </w:p>
    <w:p w14:paraId="2BE17024">
      <w:pPr>
        <w:spacing w:line="1" w:lineRule="exact"/>
        <w:rPr>
          <w:rFonts w:hint="eastAsia" w:ascii="仿宋" w:hAnsi="仿宋" w:eastAsia="仿宋" w:cs="仿宋"/>
          <w:sz w:val="32"/>
          <w:szCs w:val="32"/>
        </w:rPr>
        <w:sectPr>
          <w:headerReference r:id="rId6" w:type="default"/>
          <w:footerReference r:id="rId7" w:type="default"/>
          <w:type w:val="continuous"/>
          <w:pgSz w:w="11900" w:h="16820"/>
          <w:pgMar w:top="1680" w:right="1200" w:bottom="1440" w:left="1200" w:header="840" w:footer="720" w:gutter="0"/>
          <w:cols w:space="720" w:num="1"/>
        </w:sectPr>
      </w:pPr>
    </w:p>
    <w:p w14:paraId="707F4D6A">
      <w:pPr>
        <w:wordWrap w:val="0"/>
        <w:spacing w:line="239" w:lineRule="auto"/>
        <w:ind w:firstLine="0"/>
        <w:jc w:val="both"/>
        <w:rPr>
          <w:rFonts w:hint="eastAsia" w:ascii="仿宋" w:hAnsi="仿宋" w:eastAsia="仿宋" w:cs="仿宋"/>
          <w:color w:val="000000"/>
          <w:sz w:val="32"/>
          <w:szCs w:val="32"/>
        </w:rPr>
      </w:pPr>
    </w:p>
    <w:tbl>
      <w:tblPr>
        <w:tblStyle w:val="3"/>
        <w:tblW w:w="0" w:type="auto"/>
        <w:tblInd w:w="8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autofit"/>
        <w:tblCellMar>
          <w:top w:w="0" w:type="dxa"/>
          <w:left w:w="10" w:type="dxa"/>
          <w:bottom w:w="0" w:type="dxa"/>
          <w:right w:w="10" w:type="dxa"/>
        </w:tblCellMar>
      </w:tblPr>
      <w:tblGrid>
        <w:gridCol w:w="3414"/>
        <w:gridCol w:w="1228"/>
        <w:gridCol w:w="1367"/>
        <w:gridCol w:w="1520"/>
        <w:gridCol w:w="1911"/>
      </w:tblGrid>
      <w:tr w14:paraId="1C18A386">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00" w:hRule="atLeast"/>
        </w:trPr>
        <w:tc>
          <w:tcPr>
            <w:tcW w:w="3780" w:type="dxa"/>
            <w:tcBorders>
              <w:top w:val="single" w:color="000000" w:sz="4" w:space="0"/>
              <w:left w:val="single" w:color="000000" w:sz="4" w:space="0"/>
              <w:bottom w:val="single" w:color="000000" w:sz="4" w:space="0"/>
              <w:right w:val="single" w:color="000000" w:sz="4" w:space="0"/>
            </w:tcBorders>
            <w:vAlign w:val="top"/>
          </w:tcPr>
          <w:p w14:paraId="3D8653CE">
            <w:pPr>
              <w:spacing w:before="20" w:line="273" w:lineRule="auto"/>
              <w:ind w:firstLine="120"/>
              <w:jc w:val="both"/>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明细</w:t>
            </w:r>
          </w:p>
        </w:tc>
        <w:tc>
          <w:tcPr>
            <w:tcW w:w="1240" w:type="dxa"/>
            <w:tcBorders>
              <w:top w:val="single" w:color="000000" w:sz="4" w:space="0"/>
              <w:left w:val="single" w:color="000000" w:sz="4" w:space="0"/>
              <w:bottom w:val="single" w:color="000000" w:sz="4" w:space="0"/>
              <w:right w:val="single" w:color="000000" w:sz="4" w:space="0"/>
            </w:tcBorders>
            <w:vAlign w:val="top"/>
          </w:tcPr>
          <w:p w14:paraId="267B3293">
            <w:pPr>
              <w:spacing w:before="20" w:line="273" w:lineRule="auto"/>
              <w:jc w:val="center"/>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基本支出</w:t>
            </w:r>
          </w:p>
        </w:tc>
        <w:tc>
          <w:tcPr>
            <w:tcW w:w="1140" w:type="dxa"/>
            <w:tcBorders>
              <w:top w:val="single" w:color="000000" w:sz="4" w:space="0"/>
              <w:left w:val="single" w:color="000000" w:sz="4" w:space="0"/>
              <w:bottom w:val="single" w:color="000000" w:sz="4" w:space="0"/>
              <w:right w:val="single" w:color="000000" w:sz="4" w:space="0"/>
            </w:tcBorders>
            <w:vAlign w:val="top"/>
          </w:tcPr>
          <w:p w14:paraId="7E1CAEC3">
            <w:pPr>
              <w:spacing w:before="20" w:line="273" w:lineRule="auto"/>
              <w:ind w:firstLine="327"/>
              <w:jc w:val="right"/>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占比</w:t>
            </w:r>
          </w:p>
        </w:tc>
        <w:tc>
          <w:tcPr>
            <w:tcW w:w="1420" w:type="dxa"/>
            <w:tcBorders>
              <w:top w:val="single" w:color="000000" w:sz="4" w:space="0"/>
              <w:left w:val="single" w:color="000000" w:sz="4" w:space="0"/>
              <w:bottom w:val="single" w:color="000000" w:sz="4" w:space="0"/>
              <w:right w:val="single" w:color="000000" w:sz="4" w:space="0"/>
            </w:tcBorders>
            <w:vAlign w:val="top"/>
          </w:tcPr>
          <w:p w14:paraId="325950F9">
            <w:pPr>
              <w:spacing w:before="20" w:line="292" w:lineRule="auto"/>
              <w:ind w:firstLine="380"/>
              <w:jc w:val="right"/>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项目支出</w:t>
            </w:r>
          </w:p>
        </w:tc>
        <w:tc>
          <w:tcPr>
            <w:tcW w:w="1700" w:type="dxa"/>
            <w:tcBorders>
              <w:top w:val="single" w:color="000000" w:sz="4" w:space="0"/>
              <w:left w:val="single" w:color="000000" w:sz="4" w:space="0"/>
              <w:bottom w:val="single" w:color="000000" w:sz="4" w:space="0"/>
              <w:right w:val="single" w:color="000000" w:sz="4" w:space="0"/>
            </w:tcBorders>
            <w:vAlign w:val="top"/>
          </w:tcPr>
          <w:p w14:paraId="2EFFBBEF">
            <w:pPr>
              <w:spacing w:before="20" w:line="273" w:lineRule="auto"/>
              <w:ind w:firstLine="871"/>
              <w:jc w:val="right"/>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占比</w:t>
            </w:r>
          </w:p>
        </w:tc>
      </w:tr>
      <w:tr w14:paraId="5B02CA87">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00" w:hRule="atLeast"/>
        </w:trPr>
        <w:tc>
          <w:tcPr>
            <w:tcW w:w="3780" w:type="dxa"/>
            <w:tcBorders>
              <w:top w:val="single" w:color="000000" w:sz="4" w:space="0"/>
              <w:left w:val="single" w:color="000000" w:sz="4" w:space="0"/>
              <w:bottom w:val="single" w:color="000000" w:sz="4" w:space="0"/>
              <w:right w:val="single" w:color="000000" w:sz="4" w:space="0"/>
            </w:tcBorders>
            <w:vAlign w:val="top"/>
          </w:tcPr>
          <w:p w14:paraId="299F3879">
            <w:pPr>
              <w:spacing w:before="20" w:line="273" w:lineRule="auto"/>
              <w:ind w:firstLine="120"/>
              <w:jc w:val="both"/>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一般公共服务支出</w:t>
            </w:r>
          </w:p>
        </w:tc>
        <w:tc>
          <w:tcPr>
            <w:tcW w:w="1240" w:type="dxa"/>
            <w:tcBorders>
              <w:top w:val="single" w:color="000000" w:sz="4" w:space="0"/>
              <w:left w:val="single" w:color="000000" w:sz="4" w:space="0"/>
              <w:bottom w:val="single" w:color="000000" w:sz="4" w:space="0"/>
              <w:right w:val="single" w:color="000000" w:sz="4" w:space="0"/>
            </w:tcBorders>
            <w:vAlign w:val="top"/>
          </w:tcPr>
          <w:p w14:paraId="442847D3">
            <w:pPr>
              <w:spacing w:before="20" w:line="273" w:lineRule="auto"/>
              <w:jc w:val="center"/>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1906.02</w:t>
            </w:r>
          </w:p>
        </w:tc>
        <w:tc>
          <w:tcPr>
            <w:tcW w:w="1140" w:type="dxa"/>
            <w:tcBorders>
              <w:top w:val="single" w:color="000000" w:sz="4" w:space="0"/>
              <w:left w:val="single" w:color="000000" w:sz="4" w:space="0"/>
              <w:bottom w:val="single" w:color="000000" w:sz="4" w:space="0"/>
              <w:right w:val="single" w:color="000000" w:sz="4" w:space="0"/>
            </w:tcBorders>
            <w:vAlign w:val="top"/>
          </w:tcPr>
          <w:p w14:paraId="585F39DD">
            <w:pPr>
              <w:spacing w:before="20" w:line="273" w:lineRule="auto"/>
              <w:ind w:firstLine="327"/>
              <w:jc w:val="right"/>
              <w:rPr>
                <w:rFonts w:hint="eastAsia" w:ascii="仿宋" w:hAnsi="仿宋" w:eastAsia="仿宋" w:cs="仿宋"/>
                <w:color w:val="000000"/>
                <w:sz w:val="32"/>
                <w:szCs w:val="32"/>
              </w:rPr>
            </w:pPr>
          </w:p>
        </w:tc>
        <w:tc>
          <w:tcPr>
            <w:tcW w:w="1420" w:type="dxa"/>
            <w:tcBorders>
              <w:top w:val="single" w:color="000000" w:sz="4" w:space="0"/>
              <w:left w:val="single" w:color="000000" w:sz="4" w:space="0"/>
              <w:bottom w:val="single" w:color="000000" w:sz="4" w:space="0"/>
              <w:right w:val="single" w:color="000000" w:sz="4" w:space="0"/>
            </w:tcBorders>
            <w:vAlign w:val="top"/>
          </w:tcPr>
          <w:p w14:paraId="0F05619C">
            <w:pPr>
              <w:spacing w:before="20" w:line="292" w:lineRule="auto"/>
              <w:ind w:firstLine="380"/>
              <w:jc w:val="right"/>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3757.82</w:t>
            </w:r>
          </w:p>
        </w:tc>
        <w:tc>
          <w:tcPr>
            <w:tcW w:w="1700" w:type="dxa"/>
            <w:tcBorders>
              <w:top w:val="single" w:color="000000" w:sz="4" w:space="0"/>
              <w:left w:val="single" w:color="000000" w:sz="4" w:space="0"/>
              <w:bottom w:val="single" w:color="000000" w:sz="4" w:space="0"/>
              <w:right w:val="single" w:color="000000" w:sz="4" w:space="0"/>
            </w:tcBorders>
            <w:vAlign w:val="top"/>
          </w:tcPr>
          <w:p w14:paraId="31D0338D">
            <w:pPr>
              <w:spacing w:before="20" w:line="273" w:lineRule="auto"/>
              <w:ind w:firstLine="871"/>
              <w:jc w:val="right"/>
              <w:rPr>
                <w:rFonts w:hint="eastAsia" w:ascii="仿宋" w:hAnsi="仿宋" w:eastAsia="仿宋" w:cs="仿宋"/>
                <w:color w:val="000000"/>
                <w:sz w:val="32"/>
                <w:szCs w:val="32"/>
              </w:rPr>
            </w:pPr>
          </w:p>
        </w:tc>
      </w:tr>
      <w:tr w14:paraId="3D5D44A2">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00" w:hRule="atLeast"/>
        </w:trPr>
        <w:tc>
          <w:tcPr>
            <w:tcW w:w="3780" w:type="dxa"/>
            <w:tcBorders>
              <w:top w:val="single" w:color="000000" w:sz="4" w:space="0"/>
              <w:left w:val="single" w:color="000000" w:sz="4" w:space="0"/>
              <w:bottom w:val="single" w:color="000000" w:sz="4" w:space="0"/>
              <w:right w:val="single" w:color="000000" w:sz="4" w:space="0"/>
            </w:tcBorders>
            <w:vAlign w:val="top"/>
          </w:tcPr>
          <w:p w14:paraId="19C5F011">
            <w:pPr>
              <w:spacing w:before="20" w:line="273" w:lineRule="auto"/>
              <w:ind w:firstLine="120"/>
              <w:jc w:val="both"/>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发展与改革事务</w:t>
            </w:r>
          </w:p>
        </w:tc>
        <w:tc>
          <w:tcPr>
            <w:tcW w:w="1240" w:type="dxa"/>
            <w:tcBorders>
              <w:top w:val="single" w:color="000000" w:sz="4" w:space="0"/>
              <w:left w:val="single" w:color="000000" w:sz="4" w:space="0"/>
              <w:bottom w:val="single" w:color="000000" w:sz="4" w:space="0"/>
              <w:right w:val="single" w:color="000000" w:sz="4" w:space="0"/>
            </w:tcBorders>
            <w:vAlign w:val="top"/>
          </w:tcPr>
          <w:p w14:paraId="0B290200">
            <w:pPr>
              <w:spacing w:before="20" w:line="273" w:lineRule="auto"/>
              <w:jc w:val="center"/>
              <w:rPr>
                <w:rFonts w:hint="eastAsia" w:ascii="仿宋" w:hAnsi="仿宋" w:eastAsia="仿宋" w:cs="仿宋"/>
                <w:color w:val="000000"/>
                <w:sz w:val="32"/>
                <w:szCs w:val="32"/>
                <w:lang w:val="en-US" w:eastAsia="zh-CN"/>
              </w:rPr>
            </w:pPr>
          </w:p>
        </w:tc>
        <w:tc>
          <w:tcPr>
            <w:tcW w:w="1140" w:type="dxa"/>
            <w:tcBorders>
              <w:top w:val="single" w:color="000000" w:sz="4" w:space="0"/>
              <w:left w:val="single" w:color="000000" w:sz="4" w:space="0"/>
              <w:bottom w:val="single" w:color="000000" w:sz="4" w:space="0"/>
              <w:right w:val="single" w:color="000000" w:sz="4" w:space="0"/>
            </w:tcBorders>
            <w:vAlign w:val="top"/>
          </w:tcPr>
          <w:p w14:paraId="30317E6A">
            <w:pPr>
              <w:spacing w:before="20" w:line="273" w:lineRule="auto"/>
              <w:ind w:firstLine="327"/>
              <w:jc w:val="right"/>
              <w:rPr>
                <w:rFonts w:hint="eastAsia" w:ascii="仿宋" w:hAnsi="仿宋" w:eastAsia="仿宋" w:cs="仿宋"/>
                <w:color w:val="000000"/>
                <w:sz w:val="32"/>
                <w:szCs w:val="32"/>
              </w:rPr>
            </w:pPr>
          </w:p>
        </w:tc>
        <w:tc>
          <w:tcPr>
            <w:tcW w:w="1420" w:type="dxa"/>
            <w:tcBorders>
              <w:top w:val="single" w:color="000000" w:sz="4" w:space="0"/>
              <w:left w:val="single" w:color="000000" w:sz="4" w:space="0"/>
              <w:bottom w:val="single" w:color="000000" w:sz="4" w:space="0"/>
              <w:right w:val="single" w:color="000000" w:sz="4" w:space="0"/>
            </w:tcBorders>
            <w:vAlign w:val="top"/>
          </w:tcPr>
          <w:p w14:paraId="46A0DE9A">
            <w:pPr>
              <w:spacing w:before="20" w:line="292" w:lineRule="auto"/>
              <w:ind w:firstLine="380"/>
              <w:jc w:val="right"/>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161.61</w:t>
            </w:r>
          </w:p>
        </w:tc>
        <w:tc>
          <w:tcPr>
            <w:tcW w:w="1700" w:type="dxa"/>
            <w:tcBorders>
              <w:top w:val="single" w:color="000000" w:sz="4" w:space="0"/>
              <w:left w:val="single" w:color="000000" w:sz="4" w:space="0"/>
              <w:bottom w:val="single" w:color="000000" w:sz="4" w:space="0"/>
              <w:right w:val="single" w:color="000000" w:sz="4" w:space="0"/>
            </w:tcBorders>
            <w:vAlign w:val="top"/>
          </w:tcPr>
          <w:p w14:paraId="7DBECF91">
            <w:pPr>
              <w:spacing w:before="20" w:line="273" w:lineRule="auto"/>
              <w:ind w:firstLine="871"/>
              <w:jc w:val="right"/>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4.3%</w:t>
            </w:r>
          </w:p>
        </w:tc>
      </w:tr>
      <w:tr w14:paraId="6F38DDA2">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00" w:hRule="atLeast"/>
        </w:trPr>
        <w:tc>
          <w:tcPr>
            <w:tcW w:w="3780" w:type="dxa"/>
            <w:tcBorders>
              <w:top w:val="single" w:color="000000" w:sz="4" w:space="0"/>
              <w:left w:val="single" w:color="000000" w:sz="4" w:space="0"/>
              <w:bottom w:val="single" w:color="000000" w:sz="4" w:space="0"/>
              <w:right w:val="single" w:color="000000" w:sz="4" w:space="0"/>
            </w:tcBorders>
            <w:vAlign w:val="top"/>
          </w:tcPr>
          <w:p w14:paraId="0224F668">
            <w:pPr>
              <w:spacing w:before="20" w:line="273" w:lineRule="auto"/>
              <w:ind w:firstLine="120"/>
              <w:jc w:val="both"/>
              <w:rPr>
                <w:rFonts w:hint="eastAsia" w:ascii="仿宋" w:hAnsi="仿宋" w:eastAsia="仿宋" w:cs="仿宋"/>
                <w:sz w:val="32"/>
                <w:szCs w:val="32"/>
              </w:rPr>
            </w:pPr>
            <w:r>
              <w:rPr>
                <w:rFonts w:hint="eastAsia" w:ascii="仿宋" w:hAnsi="仿宋" w:eastAsia="仿宋" w:cs="仿宋"/>
                <w:color w:val="000000"/>
                <w:sz w:val="32"/>
                <w:szCs w:val="32"/>
              </w:rPr>
              <w:t>文化旅游体育与传媒支出</w:t>
            </w:r>
          </w:p>
        </w:tc>
        <w:tc>
          <w:tcPr>
            <w:tcW w:w="1240" w:type="dxa"/>
            <w:tcBorders>
              <w:top w:val="single" w:color="000000" w:sz="4" w:space="0"/>
              <w:left w:val="single" w:color="000000" w:sz="4" w:space="0"/>
              <w:bottom w:val="single" w:color="000000" w:sz="4" w:space="0"/>
              <w:right w:val="single" w:color="000000" w:sz="4" w:space="0"/>
            </w:tcBorders>
            <w:vAlign w:val="top"/>
          </w:tcPr>
          <w:p w14:paraId="6CE43ABB">
            <w:pPr>
              <w:spacing w:before="20" w:line="273" w:lineRule="auto"/>
              <w:jc w:val="center"/>
              <w:rPr>
                <w:rFonts w:hint="eastAsia" w:ascii="仿宋" w:hAnsi="仿宋" w:eastAsia="仿宋" w:cs="仿宋"/>
                <w:sz w:val="32"/>
                <w:szCs w:val="32"/>
                <w:lang w:val="en-US" w:eastAsia="zh-CN"/>
              </w:rPr>
            </w:pPr>
            <w:r>
              <w:rPr>
                <w:rFonts w:hint="eastAsia" w:ascii="仿宋" w:hAnsi="仿宋" w:eastAsia="仿宋" w:cs="仿宋"/>
                <w:color w:val="000000"/>
                <w:sz w:val="32"/>
                <w:szCs w:val="32"/>
                <w:lang w:val="en-US" w:eastAsia="zh-CN"/>
              </w:rPr>
              <w:t>1790.67</w:t>
            </w:r>
          </w:p>
        </w:tc>
        <w:tc>
          <w:tcPr>
            <w:tcW w:w="1140" w:type="dxa"/>
            <w:tcBorders>
              <w:top w:val="single" w:color="000000" w:sz="4" w:space="0"/>
              <w:left w:val="single" w:color="000000" w:sz="4" w:space="0"/>
              <w:bottom w:val="single" w:color="000000" w:sz="4" w:space="0"/>
              <w:right w:val="single" w:color="000000" w:sz="4" w:space="0"/>
            </w:tcBorders>
            <w:vAlign w:val="top"/>
          </w:tcPr>
          <w:p w14:paraId="4F7EB5D5">
            <w:pPr>
              <w:spacing w:before="20" w:line="273" w:lineRule="auto"/>
              <w:ind w:firstLine="327"/>
              <w:jc w:val="right"/>
              <w:rPr>
                <w:rFonts w:hint="eastAsia" w:ascii="仿宋" w:hAnsi="仿宋" w:eastAsia="仿宋" w:cs="仿宋"/>
                <w:sz w:val="32"/>
                <w:szCs w:val="32"/>
              </w:rPr>
            </w:pPr>
            <w:r>
              <w:rPr>
                <w:rFonts w:hint="eastAsia" w:ascii="仿宋" w:hAnsi="仿宋" w:eastAsia="仿宋" w:cs="仿宋"/>
                <w:color w:val="000000"/>
                <w:sz w:val="32"/>
                <w:szCs w:val="32"/>
                <w:lang w:val="en-US" w:eastAsia="zh-CN"/>
              </w:rPr>
              <w:t>93.95</w:t>
            </w:r>
            <w:r>
              <w:rPr>
                <w:rFonts w:hint="eastAsia" w:ascii="仿宋" w:hAnsi="仿宋" w:eastAsia="仿宋" w:cs="仿宋"/>
                <w:color w:val="000000"/>
                <w:sz w:val="32"/>
                <w:szCs w:val="32"/>
              </w:rPr>
              <w:t>%</w:t>
            </w:r>
          </w:p>
        </w:tc>
        <w:tc>
          <w:tcPr>
            <w:tcW w:w="1420" w:type="dxa"/>
            <w:tcBorders>
              <w:top w:val="single" w:color="000000" w:sz="4" w:space="0"/>
              <w:left w:val="single" w:color="000000" w:sz="4" w:space="0"/>
              <w:bottom w:val="single" w:color="000000" w:sz="4" w:space="0"/>
              <w:right w:val="single" w:color="000000" w:sz="4" w:space="0"/>
            </w:tcBorders>
            <w:vAlign w:val="top"/>
          </w:tcPr>
          <w:p w14:paraId="681ED5C3">
            <w:pPr>
              <w:spacing w:before="20" w:line="292" w:lineRule="auto"/>
              <w:ind w:firstLine="380"/>
              <w:jc w:val="right"/>
              <w:rPr>
                <w:rFonts w:hint="eastAsia" w:ascii="仿宋" w:hAnsi="仿宋" w:eastAsia="仿宋" w:cs="仿宋"/>
                <w:sz w:val="32"/>
                <w:szCs w:val="32"/>
                <w:lang w:val="en-US" w:eastAsia="zh-CN"/>
              </w:rPr>
            </w:pPr>
            <w:r>
              <w:rPr>
                <w:rFonts w:hint="eastAsia" w:ascii="仿宋" w:hAnsi="仿宋" w:eastAsia="仿宋" w:cs="仿宋"/>
                <w:color w:val="000000"/>
                <w:sz w:val="32"/>
                <w:szCs w:val="32"/>
                <w:lang w:val="en-US" w:eastAsia="zh-CN"/>
              </w:rPr>
              <w:t>529.12</w:t>
            </w:r>
          </w:p>
        </w:tc>
        <w:tc>
          <w:tcPr>
            <w:tcW w:w="1700" w:type="dxa"/>
            <w:tcBorders>
              <w:top w:val="single" w:color="000000" w:sz="4" w:space="0"/>
              <w:left w:val="single" w:color="000000" w:sz="4" w:space="0"/>
              <w:bottom w:val="single" w:color="000000" w:sz="4" w:space="0"/>
              <w:right w:val="single" w:color="000000" w:sz="4" w:space="0"/>
            </w:tcBorders>
            <w:vAlign w:val="top"/>
          </w:tcPr>
          <w:p w14:paraId="377AE23D">
            <w:pPr>
              <w:spacing w:before="20" w:line="273" w:lineRule="auto"/>
              <w:ind w:firstLine="871"/>
              <w:jc w:val="right"/>
              <w:rPr>
                <w:rFonts w:hint="eastAsia" w:ascii="仿宋" w:hAnsi="仿宋" w:eastAsia="仿宋" w:cs="仿宋"/>
                <w:sz w:val="32"/>
                <w:szCs w:val="32"/>
              </w:rPr>
            </w:pPr>
            <w:r>
              <w:rPr>
                <w:rFonts w:hint="eastAsia" w:ascii="仿宋" w:hAnsi="仿宋" w:eastAsia="仿宋" w:cs="仿宋"/>
                <w:color w:val="000000"/>
                <w:sz w:val="32"/>
                <w:szCs w:val="32"/>
                <w:lang w:val="en-US" w:eastAsia="zh-CN"/>
              </w:rPr>
              <w:t>14.08</w:t>
            </w:r>
            <w:r>
              <w:rPr>
                <w:rFonts w:hint="eastAsia" w:ascii="仿宋" w:hAnsi="仿宋" w:eastAsia="仿宋" w:cs="仿宋"/>
                <w:color w:val="000000"/>
                <w:sz w:val="32"/>
                <w:szCs w:val="32"/>
              </w:rPr>
              <w:t>%</w:t>
            </w:r>
          </w:p>
        </w:tc>
      </w:tr>
      <w:tr w14:paraId="0BCCF21A">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00" w:hRule="atLeast"/>
        </w:trPr>
        <w:tc>
          <w:tcPr>
            <w:tcW w:w="3780" w:type="dxa"/>
            <w:tcBorders>
              <w:top w:val="single" w:color="000000" w:sz="4" w:space="0"/>
              <w:left w:val="single" w:color="000000" w:sz="4" w:space="0"/>
              <w:bottom w:val="single" w:color="000000" w:sz="4" w:space="0"/>
              <w:right w:val="single" w:color="000000" w:sz="4" w:space="0"/>
            </w:tcBorders>
            <w:vAlign w:val="top"/>
          </w:tcPr>
          <w:p w14:paraId="1521D5C1">
            <w:pPr>
              <w:spacing w:before="6" w:line="273" w:lineRule="auto"/>
              <w:ind w:firstLine="120"/>
              <w:jc w:val="both"/>
              <w:rPr>
                <w:rFonts w:hint="eastAsia" w:ascii="仿宋" w:hAnsi="仿宋" w:eastAsia="仿宋" w:cs="仿宋"/>
                <w:sz w:val="32"/>
                <w:szCs w:val="32"/>
              </w:rPr>
            </w:pPr>
            <w:r>
              <w:rPr>
                <w:rFonts w:hint="eastAsia" w:ascii="仿宋" w:hAnsi="仿宋" w:eastAsia="仿宋" w:cs="仿宋"/>
                <w:color w:val="000000"/>
                <w:sz w:val="32"/>
                <w:szCs w:val="32"/>
              </w:rPr>
              <w:t>社会保障与就业支出</w:t>
            </w:r>
          </w:p>
        </w:tc>
        <w:tc>
          <w:tcPr>
            <w:tcW w:w="1240" w:type="dxa"/>
            <w:tcBorders>
              <w:top w:val="single" w:color="000000" w:sz="4" w:space="0"/>
              <w:left w:val="single" w:color="000000" w:sz="4" w:space="0"/>
              <w:bottom w:val="single" w:color="000000" w:sz="4" w:space="0"/>
              <w:right w:val="single" w:color="000000" w:sz="4" w:space="0"/>
            </w:tcBorders>
            <w:vAlign w:val="top"/>
          </w:tcPr>
          <w:p w14:paraId="734ECB3A">
            <w:pPr>
              <w:spacing w:before="6" w:line="292" w:lineRule="auto"/>
              <w:jc w:val="center"/>
              <w:rPr>
                <w:rFonts w:hint="eastAsia" w:ascii="仿宋" w:hAnsi="仿宋" w:eastAsia="仿宋" w:cs="仿宋"/>
                <w:sz w:val="32"/>
                <w:szCs w:val="32"/>
                <w:lang w:val="en-US" w:eastAsia="zh-CN"/>
              </w:rPr>
            </w:pPr>
            <w:r>
              <w:rPr>
                <w:rFonts w:hint="eastAsia" w:ascii="仿宋" w:hAnsi="仿宋" w:eastAsia="仿宋" w:cs="仿宋"/>
                <w:color w:val="000000"/>
                <w:sz w:val="32"/>
                <w:szCs w:val="32"/>
                <w:lang w:val="en-US" w:eastAsia="zh-CN"/>
              </w:rPr>
              <w:t>115.35</w:t>
            </w:r>
          </w:p>
        </w:tc>
        <w:tc>
          <w:tcPr>
            <w:tcW w:w="1140" w:type="dxa"/>
            <w:tcBorders>
              <w:top w:val="single" w:color="000000" w:sz="4" w:space="0"/>
              <w:left w:val="single" w:color="000000" w:sz="4" w:space="0"/>
              <w:bottom w:val="single" w:color="000000" w:sz="4" w:space="0"/>
              <w:right w:val="single" w:color="000000" w:sz="4" w:space="0"/>
            </w:tcBorders>
            <w:vAlign w:val="top"/>
          </w:tcPr>
          <w:p w14:paraId="41E95756">
            <w:pPr>
              <w:spacing w:before="6" w:line="292" w:lineRule="auto"/>
              <w:ind w:firstLine="447"/>
              <w:jc w:val="right"/>
              <w:rPr>
                <w:rFonts w:hint="eastAsia" w:ascii="仿宋" w:hAnsi="仿宋" w:eastAsia="仿宋" w:cs="仿宋"/>
                <w:sz w:val="32"/>
                <w:szCs w:val="32"/>
              </w:rPr>
            </w:pPr>
            <w:r>
              <w:rPr>
                <w:rFonts w:hint="eastAsia" w:ascii="仿宋" w:hAnsi="仿宋" w:eastAsia="仿宋" w:cs="仿宋"/>
                <w:color w:val="000000"/>
                <w:sz w:val="32"/>
                <w:szCs w:val="32"/>
                <w:lang w:val="en-US" w:eastAsia="zh-CN"/>
              </w:rPr>
              <w:t>6.05</w:t>
            </w:r>
            <w:r>
              <w:rPr>
                <w:rFonts w:hint="eastAsia" w:ascii="仿宋" w:hAnsi="仿宋" w:eastAsia="仿宋" w:cs="仿宋"/>
                <w:color w:val="000000"/>
                <w:sz w:val="32"/>
                <w:szCs w:val="32"/>
              </w:rPr>
              <w:t>%</w:t>
            </w:r>
          </w:p>
        </w:tc>
        <w:tc>
          <w:tcPr>
            <w:tcW w:w="1420" w:type="dxa"/>
            <w:tcBorders>
              <w:top w:val="single" w:color="000000" w:sz="4" w:space="0"/>
              <w:left w:val="single" w:color="000000" w:sz="4" w:space="0"/>
              <w:bottom w:val="single" w:color="000000" w:sz="4" w:space="0"/>
              <w:right w:val="single" w:color="000000" w:sz="4" w:space="0"/>
            </w:tcBorders>
            <w:vAlign w:val="center"/>
          </w:tcPr>
          <w:p w14:paraId="0281345B">
            <w:pPr>
              <w:rPr>
                <w:rFonts w:hint="eastAsia" w:ascii="仿宋" w:hAnsi="仿宋" w:eastAsia="仿宋" w:cs="仿宋"/>
                <w:sz w:val="32"/>
                <w:szCs w:val="32"/>
              </w:rPr>
            </w:pPr>
          </w:p>
        </w:tc>
        <w:tc>
          <w:tcPr>
            <w:tcW w:w="1700" w:type="dxa"/>
            <w:tcBorders>
              <w:top w:val="single" w:color="000000" w:sz="4" w:space="0"/>
              <w:left w:val="single" w:color="000000" w:sz="4" w:space="0"/>
              <w:bottom w:val="single" w:color="000000" w:sz="4" w:space="0"/>
              <w:right w:val="single" w:color="000000" w:sz="4" w:space="0"/>
            </w:tcBorders>
            <w:vAlign w:val="center"/>
          </w:tcPr>
          <w:p w14:paraId="0CE1042B">
            <w:pPr>
              <w:rPr>
                <w:rFonts w:hint="eastAsia" w:ascii="仿宋" w:hAnsi="仿宋" w:eastAsia="仿宋" w:cs="仿宋"/>
                <w:sz w:val="32"/>
                <w:szCs w:val="32"/>
              </w:rPr>
            </w:pPr>
          </w:p>
        </w:tc>
      </w:tr>
      <w:tr w14:paraId="558FC487">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00" w:hRule="atLeast"/>
        </w:trPr>
        <w:tc>
          <w:tcPr>
            <w:tcW w:w="3780" w:type="dxa"/>
            <w:tcBorders>
              <w:top w:val="single" w:color="000000" w:sz="4" w:space="0"/>
              <w:left w:val="single" w:color="000000" w:sz="4" w:space="0"/>
              <w:bottom w:val="single" w:color="000000" w:sz="4" w:space="0"/>
              <w:right w:val="single" w:color="000000" w:sz="4" w:space="0"/>
            </w:tcBorders>
            <w:vAlign w:val="top"/>
          </w:tcPr>
          <w:p w14:paraId="127A3379">
            <w:pPr>
              <w:spacing w:before="10" w:line="273" w:lineRule="auto"/>
              <w:ind w:firstLine="120"/>
              <w:jc w:val="both"/>
              <w:rPr>
                <w:rFonts w:hint="eastAsia" w:ascii="仿宋" w:hAnsi="仿宋" w:eastAsia="仿宋" w:cs="仿宋"/>
                <w:sz w:val="32"/>
                <w:szCs w:val="32"/>
              </w:rPr>
            </w:pPr>
            <w:r>
              <w:rPr>
                <w:rFonts w:hint="eastAsia" w:ascii="仿宋" w:hAnsi="仿宋" w:eastAsia="仿宋" w:cs="仿宋"/>
                <w:color w:val="000000"/>
                <w:sz w:val="32"/>
                <w:szCs w:val="32"/>
              </w:rPr>
              <w:t>其他支出</w:t>
            </w:r>
          </w:p>
        </w:tc>
        <w:tc>
          <w:tcPr>
            <w:tcW w:w="1240" w:type="dxa"/>
            <w:tcBorders>
              <w:top w:val="single" w:color="000000" w:sz="4" w:space="0"/>
              <w:left w:val="single" w:color="000000" w:sz="4" w:space="0"/>
              <w:bottom w:val="single" w:color="000000" w:sz="4" w:space="0"/>
              <w:right w:val="single" w:color="000000" w:sz="4" w:space="0"/>
            </w:tcBorders>
            <w:vAlign w:val="top"/>
          </w:tcPr>
          <w:p w14:paraId="0B2153FE">
            <w:pPr>
              <w:spacing w:before="10" w:line="292" w:lineRule="auto"/>
              <w:jc w:val="center"/>
              <w:rPr>
                <w:rFonts w:hint="eastAsia" w:ascii="仿宋" w:hAnsi="仿宋" w:eastAsia="仿宋" w:cs="仿宋"/>
                <w:sz w:val="32"/>
                <w:szCs w:val="32"/>
                <w:lang w:eastAsia="zh-CN"/>
              </w:rPr>
            </w:pPr>
            <w:r>
              <w:rPr>
                <w:rFonts w:hint="eastAsia" w:ascii="仿宋" w:hAnsi="仿宋" w:eastAsia="仿宋" w:cs="仿宋"/>
                <w:color w:val="000000"/>
                <w:sz w:val="32"/>
                <w:szCs w:val="32"/>
                <w:lang w:val="en-US" w:eastAsia="zh-CN"/>
              </w:rPr>
              <w:t>0</w:t>
            </w:r>
          </w:p>
        </w:tc>
        <w:tc>
          <w:tcPr>
            <w:tcW w:w="1140" w:type="dxa"/>
            <w:tcBorders>
              <w:top w:val="single" w:color="000000" w:sz="4" w:space="0"/>
              <w:left w:val="single" w:color="000000" w:sz="4" w:space="0"/>
              <w:bottom w:val="single" w:color="000000" w:sz="4" w:space="0"/>
              <w:right w:val="single" w:color="000000" w:sz="4" w:space="0"/>
            </w:tcBorders>
            <w:vAlign w:val="top"/>
          </w:tcPr>
          <w:p w14:paraId="2B27B59E">
            <w:pPr>
              <w:spacing w:before="10" w:line="292" w:lineRule="auto"/>
              <w:ind w:firstLine="307"/>
              <w:jc w:val="right"/>
              <w:rPr>
                <w:rFonts w:hint="eastAsia" w:ascii="仿宋" w:hAnsi="仿宋" w:eastAsia="仿宋" w:cs="仿宋"/>
                <w:sz w:val="32"/>
                <w:szCs w:val="32"/>
              </w:rPr>
            </w:pPr>
            <w:r>
              <w:rPr>
                <w:rFonts w:hint="eastAsia" w:ascii="仿宋" w:hAnsi="仿宋" w:eastAsia="仿宋" w:cs="仿宋"/>
                <w:color w:val="000000"/>
                <w:sz w:val="32"/>
                <w:szCs w:val="32"/>
                <w:lang w:val="en-US" w:eastAsia="zh-CN"/>
              </w:rPr>
              <w:t>0</w:t>
            </w:r>
          </w:p>
        </w:tc>
        <w:tc>
          <w:tcPr>
            <w:tcW w:w="1420" w:type="dxa"/>
            <w:tcBorders>
              <w:top w:val="single" w:color="000000" w:sz="4" w:space="0"/>
              <w:left w:val="single" w:color="000000" w:sz="4" w:space="0"/>
              <w:bottom w:val="single" w:color="000000" w:sz="4" w:space="0"/>
              <w:right w:val="single" w:color="000000" w:sz="4" w:space="0"/>
            </w:tcBorders>
            <w:vAlign w:val="top"/>
          </w:tcPr>
          <w:p w14:paraId="782A90A2">
            <w:pPr>
              <w:spacing w:before="10" w:line="292" w:lineRule="auto"/>
              <w:ind w:firstLine="360"/>
              <w:jc w:val="right"/>
              <w:rPr>
                <w:rFonts w:hint="eastAsia" w:ascii="仿宋" w:hAnsi="仿宋" w:eastAsia="仿宋" w:cs="仿宋"/>
                <w:sz w:val="32"/>
                <w:szCs w:val="32"/>
              </w:rPr>
            </w:pPr>
            <w:r>
              <w:rPr>
                <w:rFonts w:hint="eastAsia" w:ascii="仿宋" w:hAnsi="仿宋" w:eastAsia="仿宋" w:cs="仿宋"/>
                <w:color w:val="000000"/>
                <w:sz w:val="32"/>
                <w:szCs w:val="32"/>
                <w:lang w:val="en-US" w:eastAsia="zh-CN"/>
              </w:rPr>
              <w:t>3067.0</w:t>
            </w:r>
            <w:r>
              <w:rPr>
                <w:rFonts w:hint="eastAsia" w:ascii="仿宋" w:hAnsi="仿宋" w:eastAsia="仿宋" w:cs="仿宋"/>
                <w:color w:val="000000"/>
                <w:sz w:val="32"/>
                <w:szCs w:val="32"/>
              </w:rPr>
              <w:t>9</w:t>
            </w:r>
          </w:p>
        </w:tc>
        <w:tc>
          <w:tcPr>
            <w:tcW w:w="1700" w:type="dxa"/>
            <w:tcBorders>
              <w:top w:val="single" w:color="000000" w:sz="4" w:space="0"/>
              <w:left w:val="single" w:color="000000" w:sz="4" w:space="0"/>
              <w:bottom w:val="single" w:color="000000" w:sz="4" w:space="0"/>
              <w:right w:val="single" w:color="000000" w:sz="4" w:space="0"/>
            </w:tcBorders>
            <w:vAlign w:val="top"/>
          </w:tcPr>
          <w:p w14:paraId="4D90EFF0">
            <w:pPr>
              <w:spacing w:before="10" w:line="292" w:lineRule="auto"/>
              <w:ind w:firstLine="871"/>
              <w:jc w:val="right"/>
              <w:rPr>
                <w:rFonts w:hint="eastAsia" w:ascii="仿宋" w:hAnsi="仿宋" w:eastAsia="仿宋" w:cs="仿宋"/>
                <w:sz w:val="32"/>
                <w:szCs w:val="32"/>
              </w:rPr>
            </w:pPr>
            <w:r>
              <w:rPr>
                <w:rFonts w:hint="eastAsia" w:ascii="仿宋" w:hAnsi="仿宋" w:eastAsia="仿宋" w:cs="仿宋"/>
                <w:color w:val="000000"/>
                <w:sz w:val="32"/>
                <w:szCs w:val="32"/>
                <w:lang w:val="en-US" w:eastAsia="zh-CN"/>
              </w:rPr>
              <w:t>81.62</w:t>
            </w:r>
            <w:r>
              <w:rPr>
                <w:rFonts w:hint="eastAsia" w:ascii="仿宋" w:hAnsi="仿宋" w:eastAsia="仿宋" w:cs="仿宋"/>
                <w:color w:val="000000"/>
                <w:sz w:val="32"/>
                <w:szCs w:val="32"/>
              </w:rPr>
              <w:t>%</w:t>
            </w:r>
          </w:p>
        </w:tc>
      </w:tr>
      <w:tr w14:paraId="7A5521DA">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00" w:hRule="atLeast"/>
        </w:trPr>
        <w:tc>
          <w:tcPr>
            <w:tcW w:w="3780" w:type="dxa"/>
            <w:tcBorders>
              <w:top w:val="single" w:color="000000" w:sz="4" w:space="0"/>
              <w:left w:val="single" w:color="000000" w:sz="4" w:space="0"/>
              <w:bottom w:val="single" w:color="000000" w:sz="4" w:space="0"/>
              <w:right w:val="single" w:color="000000" w:sz="4" w:space="0"/>
            </w:tcBorders>
            <w:vAlign w:val="top"/>
          </w:tcPr>
          <w:p w14:paraId="0359B097">
            <w:pPr>
              <w:spacing w:before="15" w:line="273" w:lineRule="auto"/>
              <w:ind w:firstLine="340"/>
              <w:jc w:val="both"/>
              <w:rPr>
                <w:rFonts w:hint="eastAsia" w:ascii="仿宋" w:hAnsi="仿宋" w:eastAsia="仿宋" w:cs="仿宋"/>
                <w:sz w:val="32"/>
                <w:szCs w:val="32"/>
              </w:rPr>
            </w:pPr>
            <w:r>
              <w:rPr>
                <w:rFonts w:hint="eastAsia" w:ascii="仿宋" w:hAnsi="仿宋" w:eastAsia="仿宋" w:cs="仿宋"/>
                <w:color w:val="000000"/>
                <w:sz w:val="32"/>
                <w:szCs w:val="32"/>
              </w:rPr>
              <w:t>合计</w:t>
            </w:r>
          </w:p>
        </w:tc>
        <w:tc>
          <w:tcPr>
            <w:tcW w:w="1240" w:type="dxa"/>
            <w:tcBorders>
              <w:top w:val="single" w:color="000000" w:sz="4" w:space="0"/>
              <w:left w:val="single" w:color="000000" w:sz="4" w:space="0"/>
              <w:bottom w:val="single" w:color="000000" w:sz="4" w:space="0"/>
              <w:right w:val="single" w:color="000000" w:sz="4" w:space="0"/>
            </w:tcBorders>
            <w:vAlign w:val="top"/>
          </w:tcPr>
          <w:p w14:paraId="55ECC1E1">
            <w:pPr>
              <w:spacing w:before="15" w:line="292" w:lineRule="auto"/>
              <w:jc w:val="center"/>
              <w:rPr>
                <w:rFonts w:hint="eastAsia" w:ascii="仿宋" w:hAnsi="仿宋" w:eastAsia="仿宋" w:cs="仿宋"/>
                <w:sz w:val="32"/>
                <w:szCs w:val="32"/>
                <w:lang w:val="en-US" w:eastAsia="zh-CN"/>
              </w:rPr>
            </w:pPr>
            <w:r>
              <w:rPr>
                <w:rFonts w:hint="eastAsia" w:ascii="仿宋" w:hAnsi="仿宋" w:eastAsia="仿宋" w:cs="仿宋"/>
                <w:color w:val="000000"/>
                <w:sz w:val="32"/>
                <w:szCs w:val="32"/>
                <w:lang w:val="en-US" w:eastAsia="zh-CN"/>
              </w:rPr>
              <w:t>1906.02</w:t>
            </w:r>
          </w:p>
        </w:tc>
        <w:tc>
          <w:tcPr>
            <w:tcW w:w="1140" w:type="dxa"/>
            <w:tcBorders>
              <w:top w:val="single" w:color="000000" w:sz="4" w:space="0"/>
              <w:left w:val="single" w:color="000000" w:sz="4" w:space="0"/>
              <w:bottom w:val="single" w:color="000000" w:sz="4" w:space="0"/>
              <w:right w:val="single" w:color="000000" w:sz="4" w:space="0"/>
            </w:tcBorders>
            <w:vAlign w:val="top"/>
          </w:tcPr>
          <w:p w14:paraId="224C6A64">
            <w:pPr>
              <w:spacing w:before="15" w:line="292" w:lineRule="auto"/>
              <w:ind w:firstLine="227"/>
              <w:jc w:val="right"/>
              <w:rPr>
                <w:rFonts w:hint="eastAsia" w:ascii="仿宋" w:hAnsi="仿宋" w:eastAsia="仿宋" w:cs="仿宋"/>
                <w:sz w:val="32"/>
                <w:szCs w:val="32"/>
              </w:rPr>
            </w:pPr>
            <w:r>
              <w:rPr>
                <w:rFonts w:hint="eastAsia" w:ascii="仿宋" w:hAnsi="仿宋" w:eastAsia="仿宋" w:cs="仿宋"/>
                <w:color w:val="000000"/>
                <w:sz w:val="32"/>
                <w:szCs w:val="32"/>
              </w:rPr>
              <w:t>100.00%</w:t>
            </w:r>
          </w:p>
        </w:tc>
        <w:tc>
          <w:tcPr>
            <w:tcW w:w="1420" w:type="dxa"/>
            <w:tcBorders>
              <w:top w:val="single" w:color="000000" w:sz="4" w:space="0"/>
              <w:left w:val="single" w:color="000000" w:sz="4" w:space="0"/>
              <w:bottom w:val="single" w:color="000000" w:sz="4" w:space="0"/>
              <w:right w:val="single" w:color="000000" w:sz="4" w:space="0"/>
            </w:tcBorders>
            <w:vAlign w:val="top"/>
          </w:tcPr>
          <w:p w14:paraId="548C054A">
            <w:pPr>
              <w:spacing w:before="15" w:line="292" w:lineRule="auto"/>
              <w:ind w:firstLine="380"/>
              <w:jc w:val="right"/>
              <w:rPr>
                <w:rFonts w:hint="eastAsia" w:ascii="仿宋" w:hAnsi="仿宋" w:eastAsia="仿宋" w:cs="仿宋"/>
                <w:sz w:val="32"/>
                <w:szCs w:val="32"/>
                <w:lang w:val="en-US" w:eastAsia="zh-CN"/>
              </w:rPr>
            </w:pPr>
            <w:r>
              <w:rPr>
                <w:rFonts w:hint="eastAsia" w:ascii="仿宋" w:hAnsi="仿宋" w:eastAsia="仿宋" w:cs="仿宋"/>
                <w:color w:val="000000"/>
                <w:sz w:val="32"/>
                <w:szCs w:val="32"/>
                <w:lang w:val="en-US" w:eastAsia="zh-CN"/>
              </w:rPr>
              <w:t>3757.82</w:t>
            </w:r>
          </w:p>
        </w:tc>
        <w:tc>
          <w:tcPr>
            <w:tcW w:w="1700" w:type="dxa"/>
            <w:tcBorders>
              <w:top w:val="single" w:color="000000" w:sz="4" w:space="0"/>
              <w:left w:val="single" w:color="000000" w:sz="4" w:space="0"/>
              <w:bottom w:val="single" w:color="000000" w:sz="4" w:space="0"/>
              <w:right w:val="single" w:color="000000" w:sz="4" w:space="0"/>
            </w:tcBorders>
            <w:vAlign w:val="top"/>
          </w:tcPr>
          <w:p w14:paraId="145C27C6">
            <w:pPr>
              <w:spacing w:before="15" w:line="292" w:lineRule="auto"/>
              <w:ind w:firstLine="771"/>
              <w:jc w:val="right"/>
              <w:rPr>
                <w:rFonts w:hint="eastAsia" w:ascii="仿宋" w:hAnsi="仿宋" w:eastAsia="仿宋" w:cs="仿宋"/>
                <w:sz w:val="32"/>
                <w:szCs w:val="32"/>
              </w:rPr>
            </w:pPr>
            <w:r>
              <w:rPr>
                <w:rFonts w:hint="eastAsia" w:ascii="仿宋" w:hAnsi="仿宋" w:eastAsia="仿宋" w:cs="仿宋"/>
                <w:color w:val="000000"/>
                <w:sz w:val="32"/>
                <w:szCs w:val="32"/>
              </w:rPr>
              <w:t>100.00%</w:t>
            </w:r>
          </w:p>
        </w:tc>
      </w:tr>
    </w:tbl>
    <w:p w14:paraId="10917380">
      <w:pPr>
        <w:wordWrap w:val="0"/>
        <w:spacing w:line="331" w:lineRule="auto"/>
        <w:ind w:firstLine="640"/>
        <w:jc w:val="both"/>
        <w:rPr>
          <w:rFonts w:hint="eastAsia" w:ascii="仿宋" w:hAnsi="仿宋" w:eastAsia="仿宋" w:cs="仿宋"/>
          <w:sz w:val="32"/>
          <w:szCs w:val="32"/>
        </w:rPr>
      </w:pPr>
      <w:r>
        <w:rPr>
          <w:rFonts w:hint="eastAsia" w:ascii="仿宋" w:hAnsi="仿宋" w:eastAsia="仿宋" w:cs="仿宋"/>
          <w:color w:val="000000"/>
          <w:sz w:val="32"/>
          <w:szCs w:val="32"/>
        </w:rPr>
        <w:t>2、2023年政府性基金收支情况：</w:t>
      </w:r>
    </w:p>
    <w:p w14:paraId="1B569F48">
      <w:pPr>
        <w:wordWrap w:val="0"/>
        <w:spacing w:before="242" w:line="383" w:lineRule="auto"/>
        <w:ind w:left="20" w:right="260" w:firstLine="700"/>
        <w:jc w:val="both"/>
        <w:rPr>
          <w:rFonts w:hint="eastAsia" w:ascii="仿宋" w:hAnsi="仿宋" w:eastAsia="仿宋" w:cs="仿宋"/>
          <w:sz w:val="32"/>
          <w:szCs w:val="32"/>
        </w:rPr>
      </w:pPr>
      <w:r>
        <w:rPr>
          <w:rFonts w:hint="eastAsia" w:ascii="仿宋" w:hAnsi="仿宋" w:eastAsia="仿宋" w:cs="仿宋"/>
          <w:color w:val="000000"/>
          <w:sz w:val="32"/>
          <w:szCs w:val="32"/>
        </w:rPr>
        <w:t>中心2023年政府性基金预算数</w:t>
      </w:r>
      <w:r>
        <w:rPr>
          <w:rFonts w:hint="eastAsia" w:ascii="仿宋" w:hAnsi="仿宋" w:eastAsia="仿宋" w:cs="仿宋"/>
          <w:color w:val="000000"/>
          <w:sz w:val="32"/>
          <w:szCs w:val="32"/>
          <w:lang w:val="en-US" w:eastAsia="zh-CN"/>
        </w:rPr>
        <w:t>2457</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val="en-US" w:eastAsia="zh-CN"/>
        </w:rPr>
        <w:t>上年结转350.2万元，</w:t>
      </w:r>
      <w:r>
        <w:rPr>
          <w:rFonts w:hint="eastAsia" w:ascii="仿宋" w:hAnsi="仿宋" w:eastAsia="仿宋" w:cs="仿宋"/>
          <w:color w:val="000000"/>
          <w:sz w:val="32"/>
          <w:szCs w:val="32"/>
        </w:rPr>
        <w:t>年中追加</w:t>
      </w:r>
      <w:r>
        <w:rPr>
          <w:rFonts w:hint="eastAsia" w:ascii="仿宋" w:hAnsi="仿宋" w:eastAsia="仿宋" w:cs="仿宋"/>
          <w:color w:val="000000"/>
          <w:sz w:val="32"/>
          <w:szCs w:val="32"/>
          <w:lang w:val="en-US" w:eastAsia="zh-CN"/>
        </w:rPr>
        <w:t>调整</w:t>
      </w:r>
      <w:r>
        <w:rPr>
          <w:rFonts w:hint="eastAsia" w:ascii="仿宋" w:hAnsi="仿宋" w:eastAsia="仿宋" w:cs="仿宋"/>
          <w:color w:val="000000"/>
          <w:sz w:val="32"/>
          <w:szCs w:val="32"/>
        </w:rPr>
        <w:t>预算</w:t>
      </w:r>
      <w:r>
        <w:rPr>
          <w:rFonts w:hint="eastAsia" w:ascii="仿宋" w:hAnsi="仿宋" w:eastAsia="仿宋" w:cs="仿宋"/>
          <w:color w:val="000000"/>
          <w:sz w:val="32"/>
          <w:szCs w:val="32"/>
          <w:lang w:val="en-US" w:eastAsia="zh-CN"/>
        </w:rPr>
        <w:t>591.78</w:t>
      </w:r>
      <w:r>
        <w:rPr>
          <w:rFonts w:hint="eastAsia" w:ascii="仿宋" w:hAnsi="仿宋" w:eastAsia="仿宋" w:cs="仿宋"/>
          <w:color w:val="000000"/>
          <w:sz w:val="32"/>
          <w:szCs w:val="32"/>
        </w:rPr>
        <w:t>万元，调整后政府性基金4,972.04万元。截止2023年12月31日实际支出为</w:t>
      </w:r>
      <w:r>
        <w:rPr>
          <w:rFonts w:hint="eastAsia" w:ascii="仿宋" w:hAnsi="仿宋" w:eastAsia="仿宋" w:cs="仿宋"/>
          <w:color w:val="000000"/>
          <w:sz w:val="32"/>
          <w:szCs w:val="32"/>
          <w:lang w:val="en-US" w:eastAsia="zh-CN"/>
        </w:rPr>
        <w:t>3067.09</w:t>
      </w:r>
      <w:r>
        <w:rPr>
          <w:rFonts w:hint="eastAsia" w:ascii="仿宋" w:hAnsi="仿宋" w:eastAsia="仿宋" w:cs="仿宋"/>
          <w:color w:val="000000"/>
          <w:sz w:val="32"/>
          <w:szCs w:val="32"/>
        </w:rPr>
        <w:t>万元，预算执行率为</w:t>
      </w:r>
      <w:r>
        <w:rPr>
          <w:rFonts w:hint="eastAsia" w:ascii="仿宋" w:hAnsi="仿宋" w:eastAsia="仿宋" w:cs="仿宋"/>
          <w:color w:val="000000"/>
          <w:sz w:val="32"/>
          <w:szCs w:val="32"/>
          <w:lang w:val="en-US" w:eastAsia="zh-CN"/>
        </w:rPr>
        <w:t>90.24</w:t>
      </w:r>
      <w:r>
        <w:rPr>
          <w:rFonts w:hint="eastAsia" w:ascii="仿宋" w:hAnsi="仿宋" w:eastAsia="仿宋" w:cs="仿宋"/>
          <w:color w:val="000000"/>
          <w:sz w:val="32"/>
          <w:szCs w:val="32"/>
        </w:rPr>
        <w:t>％。</w:t>
      </w:r>
    </w:p>
    <w:p w14:paraId="4794B2AD">
      <w:pPr>
        <w:wordWrap w:val="0"/>
        <w:spacing w:line="240" w:lineRule="auto"/>
        <w:ind w:firstLine="0"/>
        <w:jc w:val="both"/>
        <w:rPr>
          <w:rFonts w:hint="eastAsia" w:ascii="仿宋" w:hAnsi="仿宋" w:eastAsia="仿宋" w:cs="仿宋"/>
          <w:color w:val="000000"/>
          <w:sz w:val="32"/>
          <w:szCs w:val="32"/>
        </w:rPr>
      </w:pPr>
    </w:p>
    <w:p w14:paraId="11B631B6">
      <w:pPr>
        <w:wordWrap w:val="0"/>
        <w:spacing w:before="60" w:line="254" w:lineRule="auto"/>
        <w:ind w:firstLine="7780"/>
        <w:jc w:val="both"/>
        <w:rPr>
          <w:rFonts w:hint="eastAsia" w:ascii="仿宋" w:hAnsi="仿宋" w:eastAsia="仿宋" w:cs="仿宋"/>
          <w:sz w:val="32"/>
          <w:szCs w:val="32"/>
        </w:rPr>
      </w:pPr>
      <w:r>
        <w:rPr>
          <w:rFonts w:hint="eastAsia" w:ascii="仿宋" w:hAnsi="仿宋" w:eastAsia="仿宋" w:cs="仿宋"/>
          <w:color w:val="000000"/>
          <w:sz w:val="32"/>
          <w:szCs w:val="32"/>
        </w:rPr>
        <w:t>（单位：万元）</w:t>
      </w:r>
    </w:p>
    <w:p w14:paraId="6C1B4779">
      <w:pPr>
        <w:wordWrap w:val="0"/>
        <w:spacing w:line="239" w:lineRule="auto"/>
        <w:ind w:firstLine="0"/>
        <w:jc w:val="both"/>
        <w:rPr>
          <w:rFonts w:hint="eastAsia" w:ascii="仿宋" w:hAnsi="仿宋" w:eastAsia="仿宋" w:cs="仿宋"/>
          <w:color w:val="000000"/>
          <w:sz w:val="32"/>
          <w:szCs w:val="32"/>
        </w:rPr>
      </w:pPr>
    </w:p>
    <w:tbl>
      <w:tblPr>
        <w:tblStyle w:val="3"/>
        <w:tblW w:w="0" w:type="auto"/>
        <w:tblInd w:w="6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autofit"/>
        <w:tblCellMar>
          <w:top w:w="0" w:type="dxa"/>
          <w:left w:w="10" w:type="dxa"/>
          <w:bottom w:w="0" w:type="dxa"/>
          <w:right w:w="10" w:type="dxa"/>
        </w:tblCellMar>
      </w:tblPr>
      <w:tblGrid>
        <w:gridCol w:w="2108"/>
        <w:gridCol w:w="80"/>
        <w:gridCol w:w="1404"/>
        <w:gridCol w:w="66"/>
        <w:gridCol w:w="1136"/>
        <w:gridCol w:w="40"/>
        <w:gridCol w:w="1510"/>
        <w:gridCol w:w="54"/>
        <w:gridCol w:w="1366"/>
        <w:gridCol w:w="24"/>
        <w:gridCol w:w="1672"/>
      </w:tblGrid>
      <w:tr w14:paraId="731060C3">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640" w:hRule="atLeast"/>
        </w:trPr>
        <w:tc>
          <w:tcPr>
            <w:tcW w:w="2740" w:type="dxa"/>
            <w:tcBorders>
              <w:top w:val="single" w:color="000000" w:sz="4" w:space="0"/>
              <w:left w:val="single" w:color="000000" w:sz="4" w:space="0"/>
              <w:bottom w:val="single" w:color="000000" w:sz="4" w:space="0"/>
              <w:right w:val="single" w:color="000000" w:sz="4" w:space="0"/>
            </w:tcBorders>
            <w:vAlign w:val="top"/>
          </w:tcPr>
          <w:p w14:paraId="2FD9F62E">
            <w:pPr>
              <w:spacing w:before="200" w:line="239" w:lineRule="auto"/>
              <w:ind w:firstLine="140"/>
              <w:jc w:val="both"/>
              <w:rPr>
                <w:rFonts w:hint="eastAsia" w:ascii="仿宋" w:hAnsi="仿宋" w:eastAsia="仿宋" w:cs="仿宋"/>
                <w:sz w:val="32"/>
                <w:szCs w:val="32"/>
              </w:rPr>
            </w:pPr>
            <w:r>
              <w:rPr>
                <w:rFonts w:hint="eastAsia" w:ascii="仿宋" w:hAnsi="仿宋" w:eastAsia="仿宋" w:cs="仿宋"/>
                <w:color w:val="000000"/>
                <w:sz w:val="32"/>
                <w:szCs w:val="32"/>
              </w:rPr>
              <w:t>项目名称</w:t>
            </w:r>
          </w:p>
        </w:tc>
        <w:tc>
          <w:tcPr>
            <w:tcW w:w="1280" w:type="dxa"/>
            <w:gridSpan w:val="2"/>
            <w:tcBorders>
              <w:top w:val="single" w:color="000000" w:sz="4" w:space="0"/>
              <w:left w:val="single" w:color="000000" w:sz="4" w:space="0"/>
              <w:bottom w:val="single" w:color="000000" w:sz="4" w:space="0"/>
              <w:right w:val="single" w:color="000000" w:sz="4" w:space="0"/>
            </w:tcBorders>
            <w:vAlign w:val="top"/>
          </w:tcPr>
          <w:p w14:paraId="6D32C211">
            <w:pPr>
              <w:spacing w:before="200" w:line="239" w:lineRule="auto"/>
              <w:ind w:firstLine="156"/>
              <w:jc w:val="right"/>
              <w:rPr>
                <w:rFonts w:hint="eastAsia" w:ascii="仿宋" w:hAnsi="仿宋" w:eastAsia="仿宋" w:cs="仿宋"/>
                <w:sz w:val="32"/>
                <w:szCs w:val="32"/>
              </w:rPr>
            </w:pPr>
            <w:r>
              <w:rPr>
                <w:rFonts w:hint="eastAsia" w:ascii="仿宋" w:hAnsi="仿宋" w:eastAsia="仿宋" w:cs="仿宋"/>
                <w:color w:val="000000"/>
                <w:sz w:val="32"/>
                <w:szCs w:val="32"/>
              </w:rPr>
              <w:t>预算收入</w:t>
            </w:r>
          </w:p>
        </w:tc>
        <w:tc>
          <w:tcPr>
            <w:tcW w:w="1100" w:type="dxa"/>
            <w:gridSpan w:val="2"/>
            <w:tcBorders>
              <w:top w:val="single" w:color="000000" w:sz="4" w:space="0"/>
              <w:left w:val="single" w:color="000000" w:sz="4" w:space="0"/>
              <w:bottom w:val="single" w:color="000000" w:sz="4" w:space="0"/>
              <w:right w:val="single" w:color="000000" w:sz="4" w:space="0"/>
            </w:tcBorders>
            <w:vAlign w:val="top"/>
          </w:tcPr>
          <w:p w14:paraId="28BE2535">
            <w:pPr>
              <w:spacing w:before="20" w:line="264" w:lineRule="auto"/>
              <w:ind w:left="125" w:right="344" w:firstLine="20"/>
              <w:jc w:val="right"/>
              <w:rPr>
                <w:rFonts w:hint="eastAsia" w:ascii="仿宋" w:hAnsi="仿宋" w:eastAsia="仿宋" w:cs="仿宋"/>
                <w:sz w:val="32"/>
                <w:szCs w:val="32"/>
              </w:rPr>
            </w:pPr>
            <w:r>
              <w:rPr>
                <w:rFonts w:hint="eastAsia" w:ascii="仿宋" w:hAnsi="仿宋" w:eastAsia="仿宋" w:cs="仿宋"/>
                <w:color w:val="000000"/>
                <w:sz w:val="32"/>
                <w:szCs w:val="32"/>
              </w:rPr>
              <w:t>调增金额</w:t>
            </w:r>
          </w:p>
        </w:tc>
        <w:tc>
          <w:tcPr>
            <w:tcW w:w="1340" w:type="dxa"/>
            <w:gridSpan w:val="2"/>
            <w:tcBorders>
              <w:top w:val="single" w:color="000000" w:sz="4" w:space="0"/>
              <w:left w:val="single" w:color="000000" w:sz="4" w:space="0"/>
              <w:bottom w:val="single" w:color="000000" w:sz="4" w:space="0"/>
              <w:right w:val="single" w:color="000000" w:sz="4" w:space="0"/>
            </w:tcBorders>
            <w:vAlign w:val="top"/>
          </w:tcPr>
          <w:p w14:paraId="38FB9CE3">
            <w:pPr>
              <w:spacing w:before="200" w:line="239" w:lineRule="auto"/>
              <w:ind w:firstLine="115"/>
              <w:jc w:val="right"/>
              <w:rPr>
                <w:rFonts w:hint="eastAsia" w:ascii="仿宋" w:hAnsi="仿宋" w:eastAsia="仿宋" w:cs="仿宋"/>
                <w:sz w:val="32"/>
                <w:szCs w:val="32"/>
              </w:rPr>
            </w:pPr>
            <w:r>
              <w:rPr>
                <w:rFonts w:hint="eastAsia" w:ascii="仿宋" w:hAnsi="仿宋" w:eastAsia="仿宋" w:cs="仿宋"/>
                <w:color w:val="000000"/>
                <w:sz w:val="32"/>
                <w:szCs w:val="32"/>
              </w:rPr>
              <w:t>决算收入</w:t>
            </w:r>
          </w:p>
        </w:tc>
        <w:tc>
          <w:tcPr>
            <w:tcW w:w="1340" w:type="dxa"/>
            <w:gridSpan w:val="2"/>
            <w:tcBorders>
              <w:top w:val="single" w:color="000000" w:sz="4" w:space="0"/>
              <w:left w:val="single" w:color="000000" w:sz="4" w:space="0"/>
              <w:bottom w:val="single" w:color="000000" w:sz="4" w:space="0"/>
              <w:right w:val="single" w:color="000000" w:sz="4" w:space="0"/>
            </w:tcBorders>
            <w:vAlign w:val="top"/>
          </w:tcPr>
          <w:p w14:paraId="3929F3DC">
            <w:pPr>
              <w:spacing w:before="200" w:line="239" w:lineRule="auto"/>
              <w:ind w:firstLine="104"/>
              <w:jc w:val="right"/>
              <w:rPr>
                <w:rFonts w:hint="eastAsia" w:ascii="仿宋" w:hAnsi="仿宋" w:eastAsia="仿宋" w:cs="仿宋"/>
                <w:sz w:val="32"/>
                <w:szCs w:val="32"/>
              </w:rPr>
            </w:pPr>
            <w:r>
              <w:rPr>
                <w:rFonts w:hint="eastAsia" w:ascii="仿宋" w:hAnsi="仿宋" w:eastAsia="仿宋" w:cs="仿宋"/>
                <w:color w:val="000000"/>
                <w:sz w:val="32"/>
                <w:szCs w:val="32"/>
              </w:rPr>
              <w:t>支出金额</w:t>
            </w:r>
          </w:p>
        </w:tc>
        <w:tc>
          <w:tcPr>
            <w:tcW w:w="1460" w:type="dxa"/>
            <w:gridSpan w:val="2"/>
            <w:tcBorders>
              <w:top w:val="single" w:color="000000" w:sz="4" w:space="0"/>
              <w:left w:val="single" w:color="000000" w:sz="4" w:space="0"/>
              <w:bottom w:val="single" w:color="000000" w:sz="4" w:space="0"/>
              <w:right w:val="single" w:color="000000" w:sz="4" w:space="0"/>
            </w:tcBorders>
            <w:vAlign w:val="top"/>
          </w:tcPr>
          <w:p w14:paraId="3E711C53">
            <w:pPr>
              <w:spacing w:before="200" w:line="239" w:lineRule="auto"/>
              <w:ind w:firstLine="112"/>
              <w:jc w:val="right"/>
              <w:rPr>
                <w:rFonts w:hint="eastAsia" w:ascii="仿宋" w:hAnsi="仿宋" w:eastAsia="仿宋" w:cs="仿宋"/>
                <w:sz w:val="32"/>
                <w:szCs w:val="32"/>
              </w:rPr>
            </w:pPr>
            <w:r>
              <w:rPr>
                <w:rFonts w:hint="eastAsia" w:ascii="仿宋" w:hAnsi="仿宋" w:eastAsia="仿宋" w:cs="仿宋"/>
                <w:color w:val="000000"/>
                <w:sz w:val="32"/>
                <w:szCs w:val="32"/>
              </w:rPr>
              <w:t>预算执行率</w:t>
            </w:r>
          </w:p>
        </w:tc>
      </w:tr>
      <w:tr w14:paraId="75C24795">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640" w:hRule="atLeast"/>
        </w:trPr>
        <w:tc>
          <w:tcPr>
            <w:tcW w:w="2740" w:type="dxa"/>
            <w:tcBorders>
              <w:top w:val="single" w:color="000000" w:sz="4" w:space="0"/>
              <w:left w:val="single" w:color="000000" w:sz="4" w:space="0"/>
              <w:bottom w:val="single" w:color="000000" w:sz="4" w:space="0"/>
              <w:right w:val="single" w:color="000000" w:sz="4" w:space="0"/>
            </w:tcBorders>
            <w:vAlign w:val="center"/>
          </w:tcPr>
          <w:p w14:paraId="79846D00">
            <w:pPr>
              <w:keepNext w:val="0"/>
              <w:keepLines w:val="0"/>
              <w:widowControl/>
              <w:suppressLineNumbers w:val="0"/>
              <w:jc w:val="left"/>
              <w:textAlignment w:val="center"/>
              <w:rPr>
                <w:rFonts w:hint="eastAsia" w:ascii="仿宋" w:hAnsi="仿宋" w:eastAsia="仿宋" w:cs="仿宋"/>
                <w:sz w:val="32"/>
                <w:szCs w:val="32"/>
              </w:rPr>
            </w:pPr>
            <w:r>
              <w:rPr>
                <w:rFonts w:hint="eastAsia" w:ascii="仿宋" w:hAnsi="仿宋" w:eastAsia="仿宋" w:cs="仿宋"/>
                <w:i w:val="0"/>
                <w:iCs w:val="0"/>
                <w:color w:val="000000"/>
                <w:kern w:val="0"/>
                <w:sz w:val="32"/>
                <w:szCs w:val="32"/>
                <w:u w:val="none"/>
                <w:lang w:val="en-US" w:eastAsia="zh-CN" w:bidi="ar"/>
              </w:rPr>
              <w:t>备战保障保证工作经费</w:t>
            </w:r>
          </w:p>
        </w:tc>
        <w:tc>
          <w:tcPr>
            <w:tcW w:w="1280" w:type="dxa"/>
            <w:gridSpan w:val="2"/>
            <w:tcBorders>
              <w:top w:val="single" w:color="000000" w:sz="4" w:space="0"/>
              <w:left w:val="single" w:color="000000" w:sz="4" w:space="0"/>
              <w:bottom w:val="single" w:color="000000" w:sz="4" w:space="0"/>
              <w:right w:val="single" w:color="000000" w:sz="4" w:space="0"/>
            </w:tcBorders>
            <w:vAlign w:val="center"/>
          </w:tcPr>
          <w:p w14:paraId="46EB4DCD">
            <w:pPr>
              <w:keepNext w:val="0"/>
              <w:keepLines w:val="0"/>
              <w:widowControl/>
              <w:suppressLineNumbers w:val="0"/>
              <w:jc w:val="right"/>
              <w:textAlignment w:val="center"/>
              <w:rPr>
                <w:rFonts w:hint="eastAsia" w:ascii="仿宋" w:hAnsi="仿宋" w:eastAsia="仿宋" w:cs="仿宋"/>
                <w:sz w:val="32"/>
                <w:szCs w:val="32"/>
              </w:rPr>
            </w:pPr>
            <w:r>
              <w:rPr>
                <w:rFonts w:hint="eastAsia" w:ascii="仿宋" w:hAnsi="仿宋" w:eastAsia="仿宋" w:cs="仿宋"/>
                <w:i w:val="0"/>
                <w:iCs w:val="0"/>
                <w:color w:val="000000"/>
                <w:kern w:val="0"/>
                <w:sz w:val="32"/>
                <w:szCs w:val="32"/>
                <w:u w:val="none"/>
                <w:lang w:val="en-US" w:eastAsia="zh-CN" w:bidi="ar"/>
              </w:rPr>
              <w:t xml:space="preserve">423.26 </w:t>
            </w:r>
          </w:p>
        </w:tc>
        <w:tc>
          <w:tcPr>
            <w:tcW w:w="1100" w:type="dxa"/>
            <w:gridSpan w:val="2"/>
            <w:tcBorders>
              <w:top w:val="single" w:color="000000" w:sz="4" w:space="0"/>
              <w:left w:val="single" w:color="000000" w:sz="4" w:space="0"/>
              <w:bottom w:val="single" w:color="000000" w:sz="4" w:space="0"/>
              <w:right w:val="single" w:color="000000" w:sz="4" w:space="0"/>
            </w:tcBorders>
            <w:vAlign w:val="top"/>
          </w:tcPr>
          <w:p w14:paraId="1910683D">
            <w:pPr>
              <w:spacing w:before="179" w:line="239" w:lineRule="auto"/>
              <w:ind w:firstLine="525"/>
              <w:jc w:val="right"/>
              <w:rPr>
                <w:rFonts w:hint="eastAsia" w:ascii="仿宋" w:hAnsi="仿宋" w:eastAsia="仿宋" w:cs="仿宋"/>
                <w:sz w:val="32"/>
                <w:szCs w:val="32"/>
              </w:rPr>
            </w:pPr>
            <w:r>
              <w:rPr>
                <w:rFonts w:hint="eastAsia" w:ascii="仿宋" w:hAnsi="仿宋" w:eastAsia="仿宋" w:cs="仿宋"/>
                <w:color w:val="000000"/>
                <w:sz w:val="32"/>
                <w:szCs w:val="32"/>
              </w:rPr>
              <w:t>0.00</w:t>
            </w:r>
          </w:p>
        </w:tc>
        <w:tc>
          <w:tcPr>
            <w:tcW w:w="1340" w:type="dxa"/>
            <w:gridSpan w:val="2"/>
            <w:tcBorders>
              <w:top w:val="single" w:color="000000" w:sz="4" w:space="0"/>
              <w:left w:val="single" w:color="000000" w:sz="4" w:space="0"/>
              <w:bottom w:val="single" w:color="000000" w:sz="4" w:space="0"/>
              <w:right w:val="single" w:color="000000" w:sz="4" w:space="0"/>
            </w:tcBorders>
            <w:vAlign w:val="center"/>
          </w:tcPr>
          <w:p w14:paraId="675B0CBF">
            <w:pPr>
              <w:keepNext w:val="0"/>
              <w:keepLines w:val="0"/>
              <w:widowControl/>
              <w:suppressLineNumbers w:val="0"/>
              <w:jc w:val="right"/>
              <w:textAlignment w:val="center"/>
              <w:rPr>
                <w:rFonts w:hint="eastAsia" w:ascii="仿宋" w:hAnsi="仿宋" w:eastAsia="仿宋" w:cs="仿宋"/>
                <w:sz w:val="32"/>
                <w:szCs w:val="32"/>
              </w:rPr>
            </w:pPr>
            <w:r>
              <w:rPr>
                <w:rFonts w:hint="eastAsia" w:ascii="仿宋" w:hAnsi="仿宋" w:eastAsia="仿宋" w:cs="仿宋"/>
                <w:i w:val="0"/>
                <w:iCs w:val="0"/>
                <w:color w:val="000000"/>
                <w:kern w:val="0"/>
                <w:sz w:val="32"/>
                <w:szCs w:val="32"/>
                <w:u w:val="none"/>
                <w:lang w:val="en-US" w:eastAsia="zh-CN" w:bidi="ar"/>
              </w:rPr>
              <w:t xml:space="preserve">423.26 </w:t>
            </w:r>
          </w:p>
        </w:tc>
        <w:tc>
          <w:tcPr>
            <w:tcW w:w="1340" w:type="dxa"/>
            <w:gridSpan w:val="2"/>
            <w:tcBorders>
              <w:top w:val="single" w:color="000000" w:sz="4" w:space="0"/>
              <w:left w:val="single" w:color="000000" w:sz="4" w:space="0"/>
              <w:bottom w:val="single" w:color="000000" w:sz="4" w:space="0"/>
              <w:right w:val="single" w:color="000000" w:sz="4" w:space="0"/>
            </w:tcBorders>
            <w:vAlign w:val="center"/>
          </w:tcPr>
          <w:p w14:paraId="48644BCB">
            <w:pPr>
              <w:keepNext w:val="0"/>
              <w:keepLines w:val="0"/>
              <w:widowControl/>
              <w:suppressLineNumbers w:val="0"/>
              <w:jc w:val="right"/>
              <w:textAlignment w:val="center"/>
              <w:rPr>
                <w:rFonts w:hint="eastAsia" w:ascii="仿宋" w:hAnsi="仿宋" w:eastAsia="仿宋" w:cs="仿宋"/>
                <w:sz w:val="32"/>
                <w:szCs w:val="32"/>
              </w:rPr>
            </w:pPr>
            <w:r>
              <w:rPr>
                <w:rFonts w:hint="eastAsia" w:ascii="仿宋" w:hAnsi="仿宋" w:eastAsia="仿宋" w:cs="仿宋"/>
                <w:i w:val="0"/>
                <w:iCs w:val="0"/>
                <w:color w:val="000000"/>
                <w:kern w:val="0"/>
                <w:sz w:val="32"/>
                <w:szCs w:val="32"/>
                <w:u w:val="none"/>
                <w:lang w:val="en-US" w:eastAsia="zh-CN" w:bidi="ar"/>
              </w:rPr>
              <w:t xml:space="preserve">417.39 </w:t>
            </w:r>
          </w:p>
        </w:tc>
        <w:tc>
          <w:tcPr>
            <w:tcW w:w="1460" w:type="dxa"/>
            <w:gridSpan w:val="2"/>
            <w:tcBorders>
              <w:top w:val="single" w:color="000000" w:sz="4" w:space="0"/>
              <w:left w:val="single" w:color="000000" w:sz="4" w:space="0"/>
              <w:bottom w:val="single" w:color="000000" w:sz="4" w:space="0"/>
              <w:right w:val="single" w:color="000000" w:sz="4" w:space="0"/>
            </w:tcBorders>
            <w:vAlign w:val="top"/>
          </w:tcPr>
          <w:p w14:paraId="4BCA8CC2">
            <w:pPr>
              <w:spacing w:before="179" w:line="239" w:lineRule="auto"/>
              <w:ind w:firstLine="652"/>
              <w:jc w:val="right"/>
              <w:rPr>
                <w:rFonts w:hint="eastAsia" w:ascii="仿宋" w:hAnsi="仿宋" w:eastAsia="仿宋" w:cs="仿宋"/>
                <w:sz w:val="32"/>
                <w:szCs w:val="32"/>
              </w:rPr>
            </w:pPr>
            <w:r>
              <w:rPr>
                <w:rFonts w:hint="eastAsia" w:ascii="仿宋" w:hAnsi="仿宋" w:eastAsia="仿宋" w:cs="仿宋"/>
                <w:color w:val="000000"/>
                <w:sz w:val="32"/>
                <w:szCs w:val="32"/>
                <w:lang w:val="en-US" w:eastAsia="zh-CN"/>
              </w:rPr>
              <w:t>98.61</w:t>
            </w:r>
            <w:r>
              <w:rPr>
                <w:rFonts w:hint="eastAsia" w:ascii="仿宋" w:hAnsi="仿宋" w:eastAsia="仿宋" w:cs="仿宋"/>
                <w:color w:val="000000"/>
                <w:sz w:val="32"/>
                <w:szCs w:val="32"/>
              </w:rPr>
              <w:t>%</w:t>
            </w:r>
          </w:p>
        </w:tc>
      </w:tr>
      <w:tr w14:paraId="2CA4DB6B">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80" w:hRule="atLeast"/>
        </w:trPr>
        <w:tc>
          <w:tcPr>
            <w:tcW w:w="2740" w:type="dxa"/>
            <w:tcBorders>
              <w:top w:val="single" w:color="000000" w:sz="4" w:space="0"/>
              <w:left w:val="single" w:color="000000" w:sz="4" w:space="0"/>
              <w:bottom w:val="single" w:color="000000" w:sz="4" w:space="0"/>
              <w:right w:val="single" w:color="000000" w:sz="4" w:space="0"/>
            </w:tcBorders>
            <w:vAlign w:val="center"/>
          </w:tcPr>
          <w:p w14:paraId="7511B34E">
            <w:pPr>
              <w:keepNext w:val="0"/>
              <w:keepLines w:val="0"/>
              <w:widowControl/>
              <w:suppressLineNumbers w:val="0"/>
              <w:jc w:val="left"/>
              <w:textAlignment w:val="center"/>
              <w:rPr>
                <w:rFonts w:hint="eastAsia" w:ascii="仿宋" w:hAnsi="仿宋" w:eastAsia="仿宋" w:cs="仿宋"/>
                <w:sz w:val="32"/>
                <w:szCs w:val="32"/>
              </w:rPr>
            </w:pPr>
            <w:r>
              <w:rPr>
                <w:rFonts w:hint="eastAsia" w:ascii="仿宋" w:hAnsi="仿宋" w:eastAsia="仿宋" w:cs="仿宋"/>
                <w:i w:val="0"/>
                <w:iCs w:val="0"/>
                <w:color w:val="000000"/>
                <w:kern w:val="0"/>
                <w:sz w:val="32"/>
                <w:szCs w:val="32"/>
                <w:u w:val="none"/>
                <w:lang w:val="en-US" w:eastAsia="zh-CN" w:bidi="ar"/>
              </w:rPr>
              <w:t>购置训练比赛服装器材及配件经费</w:t>
            </w:r>
          </w:p>
        </w:tc>
        <w:tc>
          <w:tcPr>
            <w:tcW w:w="1280" w:type="dxa"/>
            <w:gridSpan w:val="2"/>
            <w:tcBorders>
              <w:top w:val="single" w:color="000000" w:sz="4" w:space="0"/>
              <w:left w:val="single" w:color="000000" w:sz="4" w:space="0"/>
              <w:bottom w:val="single" w:color="000000" w:sz="4" w:space="0"/>
              <w:right w:val="single" w:color="000000" w:sz="4" w:space="0"/>
            </w:tcBorders>
            <w:vAlign w:val="center"/>
          </w:tcPr>
          <w:p w14:paraId="719BBEAA">
            <w:pPr>
              <w:keepNext w:val="0"/>
              <w:keepLines w:val="0"/>
              <w:widowControl/>
              <w:suppressLineNumbers w:val="0"/>
              <w:jc w:val="right"/>
              <w:textAlignment w:val="center"/>
              <w:rPr>
                <w:rFonts w:hint="eastAsia" w:ascii="仿宋" w:hAnsi="仿宋" w:eastAsia="仿宋" w:cs="仿宋"/>
                <w:sz w:val="32"/>
                <w:szCs w:val="32"/>
              </w:rPr>
            </w:pPr>
            <w:r>
              <w:rPr>
                <w:rFonts w:hint="eastAsia" w:ascii="仿宋" w:hAnsi="仿宋" w:eastAsia="仿宋" w:cs="仿宋"/>
                <w:i w:val="0"/>
                <w:iCs w:val="0"/>
                <w:color w:val="000000"/>
                <w:kern w:val="0"/>
                <w:sz w:val="32"/>
                <w:szCs w:val="32"/>
                <w:u w:val="none"/>
                <w:lang w:val="en-US" w:eastAsia="zh-CN" w:bidi="ar"/>
              </w:rPr>
              <w:t xml:space="preserve">548.84 </w:t>
            </w:r>
          </w:p>
        </w:tc>
        <w:tc>
          <w:tcPr>
            <w:tcW w:w="1100" w:type="dxa"/>
            <w:gridSpan w:val="2"/>
            <w:tcBorders>
              <w:top w:val="single" w:color="000000" w:sz="4" w:space="0"/>
              <w:left w:val="single" w:color="000000" w:sz="4" w:space="0"/>
              <w:bottom w:val="single" w:color="000000" w:sz="4" w:space="0"/>
              <w:right w:val="single" w:color="000000" w:sz="4" w:space="0"/>
            </w:tcBorders>
            <w:vAlign w:val="top"/>
          </w:tcPr>
          <w:p w14:paraId="4069F860">
            <w:pPr>
              <w:spacing w:before="103" w:line="239" w:lineRule="auto"/>
              <w:ind w:firstLine="525"/>
              <w:jc w:val="right"/>
              <w:rPr>
                <w:rFonts w:hint="eastAsia" w:ascii="仿宋" w:hAnsi="仿宋" w:eastAsia="仿宋" w:cs="仿宋"/>
                <w:sz w:val="32"/>
                <w:szCs w:val="32"/>
              </w:rPr>
            </w:pPr>
            <w:r>
              <w:rPr>
                <w:rFonts w:hint="eastAsia" w:ascii="仿宋" w:hAnsi="仿宋" w:eastAsia="仿宋" w:cs="仿宋"/>
                <w:color w:val="000000"/>
                <w:sz w:val="32"/>
                <w:szCs w:val="32"/>
              </w:rPr>
              <w:t>0.00</w:t>
            </w:r>
          </w:p>
        </w:tc>
        <w:tc>
          <w:tcPr>
            <w:tcW w:w="1340" w:type="dxa"/>
            <w:gridSpan w:val="2"/>
            <w:tcBorders>
              <w:top w:val="single" w:color="000000" w:sz="4" w:space="0"/>
              <w:left w:val="single" w:color="000000" w:sz="4" w:space="0"/>
              <w:bottom w:val="single" w:color="000000" w:sz="4" w:space="0"/>
              <w:right w:val="single" w:color="000000" w:sz="4" w:space="0"/>
            </w:tcBorders>
            <w:vAlign w:val="center"/>
          </w:tcPr>
          <w:p w14:paraId="07F3E8D6">
            <w:pPr>
              <w:keepNext w:val="0"/>
              <w:keepLines w:val="0"/>
              <w:widowControl/>
              <w:suppressLineNumbers w:val="0"/>
              <w:jc w:val="right"/>
              <w:textAlignment w:val="center"/>
              <w:rPr>
                <w:rFonts w:hint="eastAsia" w:ascii="仿宋" w:hAnsi="仿宋" w:eastAsia="仿宋" w:cs="仿宋"/>
                <w:sz w:val="32"/>
                <w:szCs w:val="32"/>
              </w:rPr>
            </w:pPr>
            <w:r>
              <w:rPr>
                <w:rFonts w:hint="eastAsia" w:ascii="仿宋" w:hAnsi="仿宋" w:eastAsia="仿宋" w:cs="仿宋"/>
                <w:i w:val="0"/>
                <w:iCs w:val="0"/>
                <w:color w:val="000000"/>
                <w:kern w:val="0"/>
                <w:sz w:val="32"/>
                <w:szCs w:val="32"/>
                <w:u w:val="none"/>
                <w:lang w:val="en-US" w:eastAsia="zh-CN" w:bidi="ar"/>
              </w:rPr>
              <w:t xml:space="preserve">548.84 </w:t>
            </w:r>
          </w:p>
        </w:tc>
        <w:tc>
          <w:tcPr>
            <w:tcW w:w="1340" w:type="dxa"/>
            <w:gridSpan w:val="2"/>
            <w:tcBorders>
              <w:top w:val="single" w:color="000000" w:sz="4" w:space="0"/>
              <w:left w:val="single" w:color="000000" w:sz="4" w:space="0"/>
              <w:bottom w:val="single" w:color="000000" w:sz="4" w:space="0"/>
              <w:right w:val="single" w:color="000000" w:sz="4" w:space="0"/>
            </w:tcBorders>
            <w:vAlign w:val="center"/>
          </w:tcPr>
          <w:p w14:paraId="6721DF1A">
            <w:pPr>
              <w:keepNext w:val="0"/>
              <w:keepLines w:val="0"/>
              <w:widowControl/>
              <w:suppressLineNumbers w:val="0"/>
              <w:jc w:val="right"/>
              <w:textAlignment w:val="center"/>
              <w:rPr>
                <w:rFonts w:hint="eastAsia" w:ascii="仿宋" w:hAnsi="仿宋" w:eastAsia="仿宋" w:cs="仿宋"/>
                <w:sz w:val="32"/>
                <w:szCs w:val="32"/>
              </w:rPr>
            </w:pPr>
            <w:r>
              <w:rPr>
                <w:rFonts w:hint="eastAsia" w:ascii="仿宋" w:hAnsi="仿宋" w:eastAsia="仿宋" w:cs="仿宋"/>
                <w:i w:val="0"/>
                <w:iCs w:val="0"/>
                <w:color w:val="000000"/>
                <w:kern w:val="0"/>
                <w:sz w:val="32"/>
                <w:szCs w:val="32"/>
                <w:u w:val="none"/>
                <w:lang w:val="en-US" w:eastAsia="zh-CN" w:bidi="ar"/>
              </w:rPr>
              <w:t xml:space="preserve">548.84 </w:t>
            </w:r>
          </w:p>
        </w:tc>
        <w:tc>
          <w:tcPr>
            <w:tcW w:w="1460" w:type="dxa"/>
            <w:gridSpan w:val="2"/>
            <w:tcBorders>
              <w:top w:val="single" w:color="000000" w:sz="4" w:space="0"/>
              <w:left w:val="single" w:color="000000" w:sz="4" w:space="0"/>
              <w:bottom w:val="single" w:color="000000" w:sz="4" w:space="0"/>
              <w:right w:val="single" w:color="000000" w:sz="4" w:space="0"/>
            </w:tcBorders>
            <w:vAlign w:val="top"/>
          </w:tcPr>
          <w:p w14:paraId="3A766439">
            <w:pPr>
              <w:spacing w:before="108" w:line="254" w:lineRule="auto"/>
              <w:ind w:firstLine="552"/>
              <w:jc w:val="right"/>
              <w:rPr>
                <w:rFonts w:hint="eastAsia" w:ascii="仿宋" w:hAnsi="仿宋" w:eastAsia="仿宋" w:cs="仿宋"/>
                <w:sz w:val="32"/>
                <w:szCs w:val="32"/>
              </w:rPr>
            </w:pPr>
            <w:r>
              <w:rPr>
                <w:rFonts w:hint="eastAsia" w:ascii="仿宋" w:hAnsi="仿宋" w:eastAsia="仿宋" w:cs="仿宋"/>
                <w:color w:val="000000"/>
                <w:sz w:val="32"/>
                <w:szCs w:val="32"/>
              </w:rPr>
              <w:t>100.00%</w:t>
            </w:r>
          </w:p>
        </w:tc>
      </w:tr>
      <w:tr w14:paraId="4D362DB5">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500" w:hRule="atLeast"/>
        </w:trPr>
        <w:tc>
          <w:tcPr>
            <w:tcW w:w="2740" w:type="dxa"/>
            <w:tcBorders>
              <w:top w:val="single" w:color="000000" w:sz="4" w:space="0"/>
              <w:left w:val="single" w:color="000000" w:sz="4" w:space="0"/>
              <w:bottom w:val="single" w:color="000000" w:sz="4" w:space="0"/>
              <w:right w:val="single" w:color="000000" w:sz="4" w:space="0"/>
            </w:tcBorders>
            <w:vAlign w:val="center"/>
          </w:tcPr>
          <w:p w14:paraId="7960C0A5">
            <w:pPr>
              <w:keepNext w:val="0"/>
              <w:keepLines w:val="0"/>
              <w:widowControl/>
              <w:suppressLineNumbers w:val="0"/>
              <w:jc w:val="left"/>
              <w:textAlignment w:val="center"/>
              <w:rPr>
                <w:rFonts w:hint="eastAsia" w:ascii="仿宋" w:hAnsi="仿宋" w:eastAsia="仿宋" w:cs="仿宋"/>
                <w:sz w:val="32"/>
                <w:szCs w:val="32"/>
              </w:rPr>
            </w:pPr>
            <w:r>
              <w:rPr>
                <w:rFonts w:hint="eastAsia" w:ascii="仿宋" w:hAnsi="仿宋" w:eastAsia="仿宋" w:cs="仿宋"/>
                <w:i w:val="0"/>
                <w:iCs w:val="0"/>
                <w:color w:val="000000"/>
                <w:kern w:val="0"/>
                <w:sz w:val="32"/>
                <w:szCs w:val="32"/>
                <w:u w:val="none"/>
                <w:lang w:val="en-US" w:eastAsia="zh-CN" w:bidi="ar"/>
              </w:rPr>
              <w:t>竞技体育人才引进经费</w:t>
            </w:r>
          </w:p>
        </w:tc>
        <w:tc>
          <w:tcPr>
            <w:tcW w:w="1280" w:type="dxa"/>
            <w:gridSpan w:val="2"/>
            <w:tcBorders>
              <w:top w:val="single" w:color="000000" w:sz="4" w:space="0"/>
              <w:left w:val="single" w:color="000000" w:sz="4" w:space="0"/>
              <w:bottom w:val="single" w:color="000000" w:sz="4" w:space="0"/>
              <w:right w:val="single" w:color="000000" w:sz="4" w:space="0"/>
            </w:tcBorders>
            <w:vAlign w:val="center"/>
          </w:tcPr>
          <w:p w14:paraId="14F24A32">
            <w:pPr>
              <w:keepNext w:val="0"/>
              <w:keepLines w:val="0"/>
              <w:widowControl/>
              <w:suppressLineNumbers w:val="0"/>
              <w:jc w:val="right"/>
              <w:textAlignment w:val="center"/>
              <w:rPr>
                <w:rFonts w:hint="eastAsia" w:ascii="仿宋" w:hAnsi="仿宋" w:eastAsia="仿宋" w:cs="仿宋"/>
                <w:sz w:val="32"/>
                <w:szCs w:val="32"/>
              </w:rPr>
            </w:pPr>
            <w:r>
              <w:rPr>
                <w:rFonts w:hint="eastAsia" w:ascii="仿宋" w:hAnsi="仿宋" w:eastAsia="仿宋" w:cs="仿宋"/>
                <w:i w:val="0"/>
                <w:iCs w:val="0"/>
                <w:color w:val="000000"/>
                <w:kern w:val="0"/>
                <w:sz w:val="32"/>
                <w:szCs w:val="32"/>
                <w:u w:val="none"/>
                <w:lang w:val="en-US" w:eastAsia="zh-CN" w:bidi="ar"/>
              </w:rPr>
              <w:t xml:space="preserve">794.02 </w:t>
            </w:r>
          </w:p>
        </w:tc>
        <w:tc>
          <w:tcPr>
            <w:tcW w:w="1100" w:type="dxa"/>
            <w:gridSpan w:val="2"/>
            <w:tcBorders>
              <w:top w:val="single" w:color="000000" w:sz="4" w:space="0"/>
              <w:left w:val="single" w:color="000000" w:sz="4" w:space="0"/>
              <w:bottom w:val="single" w:color="000000" w:sz="4" w:space="0"/>
              <w:right w:val="single" w:color="000000" w:sz="4" w:space="0"/>
            </w:tcBorders>
            <w:vAlign w:val="top"/>
          </w:tcPr>
          <w:p w14:paraId="390F40ED">
            <w:pPr>
              <w:spacing w:before="92" w:line="239" w:lineRule="auto"/>
              <w:ind w:firstLine="525"/>
              <w:jc w:val="right"/>
              <w:rPr>
                <w:rFonts w:hint="eastAsia" w:ascii="仿宋" w:hAnsi="仿宋" w:eastAsia="仿宋" w:cs="仿宋"/>
                <w:sz w:val="32"/>
                <w:szCs w:val="32"/>
              </w:rPr>
            </w:pPr>
            <w:r>
              <w:rPr>
                <w:rFonts w:hint="eastAsia" w:ascii="仿宋" w:hAnsi="仿宋" w:eastAsia="仿宋" w:cs="仿宋"/>
                <w:color w:val="000000"/>
                <w:sz w:val="32"/>
                <w:szCs w:val="32"/>
              </w:rPr>
              <w:t>0.00</w:t>
            </w:r>
          </w:p>
        </w:tc>
        <w:tc>
          <w:tcPr>
            <w:tcW w:w="1340" w:type="dxa"/>
            <w:gridSpan w:val="2"/>
            <w:tcBorders>
              <w:top w:val="single" w:color="000000" w:sz="4" w:space="0"/>
              <w:left w:val="single" w:color="000000" w:sz="4" w:space="0"/>
              <w:bottom w:val="single" w:color="000000" w:sz="4" w:space="0"/>
              <w:right w:val="single" w:color="000000" w:sz="4" w:space="0"/>
            </w:tcBorders>
            <w:vAlign w:val="center"/>
          </w:tcPr>
          <w:p w14:paraId="6C97EAD2">
            <w:pPr>
              <w:keepNext w:val="0"/>
              <w:keepLines w:val="0"/>
              <w:widowControl/>
              <w:suppressLineNumbers w:val="0"/>
              <w:jc w:val="right"/>
              <w:textAlignment w:val="center"/>
              <w:rPr>
                <w:rFonts w:hint="eastAsia" w:ascii="仿宋" w:hAnsi="仿宋" w:eastAsia="仿宋" w:cs="仿宋"/>
                <w:sz w:val="32"/>
                <w:szCs w:val="32"/>
              </w:rPr>
            </w:pPr>
            <w:r>
              <w:rPr>
                <w:rFonts w:hint="eastAsia" w:ascii="仿宋" w:hAnsi="仿宋" w:eastAsia="仿宋" w:cs="仿宋"/>
                <w:i w:val="0"/>
                <w:iCs w:val="0"/>
                <w:color w:val="000000"/>
                <w:kern w:val="0"/>
                <w:sz w:val="32"/>
                <w:szCs w:val="32"/>
                <w:u w:val="none"/>
                <w:lang w:val="en-US" w:eastAsia="zh-CN" w:bidi="ar"/>
              </w:rPr>
              <w:t xml:space="preserve">794.02 </w:t>
            </w:r>
          </w:p>
        </w:tc>
        <w:tc>
          <w:tcPr>
            <w:tcW w:w="1340" w:type="dxa"/>
            <w:gridSpan w:val="2"/>
            <w:tcBorders>
              <w:top w:val="single" w:color="000000" w:sz="4" w:space="0"/>
              <w:left w:val="single" w:color="000000" w:sz="4" w:space="0"/>
              <w:bottom w:val="single" w:color="000000" w:sz="4" w:space="0"/>
              <w:right w:val="single" w:color="000000" w:sz="4" w:space="0"/>
            </w:tcBorders>
            <w:vAlign w:val="center"/>
          </w:tcPr>
          <w:p w14:paraId="466B7E9D">
            <w:pPr>
              <w:keepNext w:val="0"/>
              <w:keepLines w:val="0"/>
              <w:widowControl/>
              <w:suppressLineNumbers w:val="0"/>
              <w:jc w:val="right"/>
              <w:textAlignment w:val="center"/>
              <w:rPr>
                <w:rFonts w:hint="eastAsia" w:ascii="仿宋" w:hAnsi="仿宋" w:eastAsia="仿宋" w:cs="仿宋"/>
                <w:sz w:val="32"/>
                <w:szCs w:val="32"/>
              </w:rPr>
            </w:pPr>
            <w:r>
              <w:rPr>
                <w:rFonts w:hint="eastAsia" w:ascii="仿宋" w:hAnsi="仿宋" w:eastAsia="仿宋" w:cs="仿宋"/>
                <w:i w:val="0"/>
                <w:iCs w:val="0"/>
                <w:color w:val="000000"/>
                <w:kern w:val="0"/>
                <w:sz w:val="32"/>
                <w:szCs w:val="32"/>
                <w:u w:val="none"/>
                <w:lang w:val="en-US" w:eastAsia="zh-CN" w:bidi="ar"/>
              </w:rPr>
              <w:t xml:space="preserve">778.47 </w:t>
            </w:r>
          </w:p>
        </w:tc>
        <w:tc>
          <w:tcPr>
            <w:tcW w:w="1460" w:type="dxa"/>
            <w:gridSpan w:val="2"/>
            <w:tcBorders>
              <w:top w:val="single" w:color="000000" w:sz="4" w:space="0"/>
              <w:left w:val="single" w:color="000000" w:sz="4" w:space="0"/>
              <w:bottom w:val="single" w:color="000000" w:sz="4" w:space="0"/>
              <w:right w:val="single" w:color="000000" w:sz="4" w:space="0"/>
            </w:tcBorders>
            <w:vAlign w:val="top"/>
          </w:tcPr>
          <w:p w14:paraId="69A1AC61">
            <w:pPr>
              <w:spacing w:before="97" w:line="273" w:lineRule="auto"/>
              <w:ind w:firstLine="652"/>
              <w:jc w:val="right"/>
              <w:rPr>
                <w:rFonts w:hint="eastAsia" w:ascii="仿宋" w:hAnsi="仿宋" w:eastAsia="仿宋" w:cs="仿宋"/>
                <w:sz w:val="32"/>
                <w:szCs w:val="32"/>
              </w:rPr>
            </w:pPr>
            <w:r>
              <w:rPr>
                <w:rFonts w:hint="eastAsia" w:ascii="仿宋" w:hAnsi="仿宋" w:eastAsia="仿宋" w:cs="仿宋"/>
                <w:color w:val="000000"/>
                <w:sz w:val="32"/>
                <w:szCs w:val="32"/>
                <w:lang w:val="en-US" w:eastAsia="zh-CN"/>
              </w:rPr>
              <w:t>98.04</w:t>
            </w:r>
            <w:r>
              <w:rPr>
                <w:rFonts w:hint="eastAsia" w:ascii="仿宋" w:hAnsi="仿宋" w:eastAsia="仿宋" w:cs="仿宋"/>
                <w:color w:val="000000"/>
                <w:sz w:val="32"/>
                <w:szCs w:val="32"/>
              </w:rPr>
              <w:t>%</w:t>
            </w:r>
          </w:p>
        </w:tc>
      </w:tr>
      <w:tr w14:paraId="225E5B9B">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80" w:hRule="atLeast"/>
        </w:trPr>
        <w:tc>
          <w:tcPr>
            <w:tcW w:w="2740" w:type="dxa"/>
            <w:tcBorders>
              <w:top w:val="single" w:color="000000" w:sz="4" w:space="0"/>
              <w:left w:val="single" w:color="000000" w:sz="4" w:space="0"/>
              <w:bottom w:val="single" w:color="000000" w:sz="4" w:space="0"/>
              <w:right w:val="single" w:color="000000" w:sz="4" w:space="0"/>
            </w:tcBorders>
            <w:vAlign w:val="center"/>
          </w:tcPr>
          <w:p w14:paraId="364A842A">
            <w:pPr>
              <w:keepNext w:val="0"/>
              <w:keepLines w:val="0"/>
              <w:widowControl/>
              <w:suppressLineNumbers w:val="0"/>
              <w:jc w:val="left"/>
              <w:textAlignment w:val="center"/>
              <w:rPr>
                <w:rFonts w:hint="eastAsia" w:ascii="仿宋" w:hAnsi="仿宋" w:eastAsia="仿宋" w:cs="仿宋"/>
                <w:sz w:val="32"/>
                <w:szCs w:val="32"/>
              </w:rPr>
            </w:pPr>
            <w:r>
              <w:rPr>
                <w:rFonts w:hint="eastAsia" w:ascii="仿宋" w:hAnsi="仿宋" w:eastAsia="仿宋" w:cs="仿宋"/>
                <w:i w:val="0"/>
                <w:iCs w:val="0"/>
                <w:color w:val="000000"/>
                <w:kern w:val="0"/>
                <w:sz w:val="32"/>
                <w:szCs w:val="32"/>
                <w:u w:val="none"/>
                <w:lang w:val="en-US" w:eastAsia="zh-CN" w:bidi="ar"/>
              </w:rPr>
              <w:t>科研运作经费</w:t>
            </w:r>
          </w:p>
        </w:tc>
        <w:tc>
          <w:tcPr>
            <w:tcW w:w="1280" w:type="dxa"/>
            <w:gridSpan w:val="2"/>
            <w:tcBorders>
              <w:top w:val="single" w:color="000000" w:sz="4" w:space="0"/>
              <w:left w:val="single" w:color="000000" w:sz="4" w:space="0"/>
              <w:bottom w:val="single" w:color="000000" w:sz="4" w:space="0"/>
              <w:right w:val="single" w:color="000000" w:sz="4" w:space="0"/>
            </w:tcBorders>
            <w:vAlign w:val="center"/>
          </w:tcPr>
          <w:p w14:paraId="7BC623C6">
            <w:pPr>
              <w:keepNext w:val="0"/>
              <w:keepLines w:val="0"/>
              <w:widowControl/>
              <w:suppressLineNumbers w:val="0"/>
              <w:jc w:val="right"/>
              <w:textAlignment w:val="center"/>
              <w:rPr>
                <w:rFonts w:hint="eastAsia" w:ascii="仿宋" w:hAnsi="仿宋" w:eastAsia="仿宋" w:cs="仿宋"/>
                <w:sz w:val="32"/>
                <w:szCs w:val="32"/>
              </w:rPr>
            </w:pPr>
            <w:r>
              <w:rPr>
                <w:rFonts w:hint="eastAsia" w:ascii="仿宋" w:hAnsi="仿宋" w:eastAsia="仿宋" w:cs="仿宋"/>
                <w:i w:val="0"/>
                <w:iCs w:val="0"/>
                <w:color w:val="000000"/>
                <w:kern w:val="0"/>
                <w:sz w:val="32"/>
                <w:szCs w:val="32"/>
                <w:u w:val="none"/>
                <w:lang w:val="en-US" w:eastAsia="zh-CN" w:bidi="ar"/>
              </w:rPr>
              <w:t xml:space="preserve">104.23 </w:t>
            </w:r>
          </w:p>
        </w:tc>
        <w:tc>
          <w:tcPr>
            <w:tcW w:w="1100" w:type="dxa"/>
            <w:gridSpan w:val="2"/>
            <w:tcBorders>
              <w:top w:val="single" w:color="000000" w:sz="4" w:space="0"/>
              <w:left w:val="single" w:color="000000" w:sz="4" w:space="0"/>
              <w:bottom w:val="single" w:color="000000" w:sz="4" w:space="0"/>
              <w:right w:val="single" w:color="000000" w:sz="4" w:space="0"/>
            </w:tcBorders>
            <w:vAlign w:val="top"/>
          </w:tcPr>
          <w:p w14:paraId="144FD2E1">
            <w:pPr>
              <w:spacing w:before="79" w:line="239" w:lineRule="auto"/>
              <w:ind w:firstLine="525"/>
              <w:jc w:val="right"/>
              <w:rPr>
                <w:rFonts w:hint="eastAsia" w:ascii="仿宋" w:hAnsi="仿宋" w:eastAsia="仿宋" w:cs="仿宋"/>
                <w:sz w:val="32"/>
                <w:szCs w:val="32"/>
              </w:rPr>
            </w:pPr>
            <w:r>
              <w:rPr>
                <w:rFonts w:hint="eastAsia" w:ascii="仿宋" w:hAnsi="仿宋" w:eastAsia="仿宋" w:cs="仿宋"/>
                <w:color w:val="000000"/>
                <w:sz w:val="32"/>
                <w:szCs w:val="32"/>
              </w:rPr>
              <w:t>0.00</w:t>
            </w:r>
          </w:p>
        </w:tc>
        <w:tc>
          <w:tcPr>
            <w:tcW w:w="1340" w:type="dxa"/>
            <w:gridSpan w:val="2"/>
            <w:tcBorders>
              <w:top w:val="single" w:color="000000" w:sz="4" w:space="0"/>
              <w:left w:val="single" w:color="000000" w:sz="4" w:space="0"/>
              <w:bottom w:val="single" w:color="000000" w:sz="4" w:space="0"/>
              <w:right w:val="single" w:color="000000" w:sz="4" w:space="0"/>
            </w:tcBorders>
            <w:vAlign w:val="center"/>
          </w:tcPr>
          <w:p w14:paraId="1E68D693">
            <w:pPr>
              <w:keepNext w:val="0"/>
              <w:keepLines w:val="0"/>
              <w:widowControl/>
              <w:suppressLineNumbers w:val="0"/>
              <w:jc w:val="right"/>
              <w:textAlignment w:val="center"/>
              <w:rPr>
                <w:rFonts w:hint="eastAsia" w:ascii="仿宋" w:hAnsi="仿宋" w:eastAsia="仿宋" w:cs="仿宋"/>
                <w:sz w:val="32"/>
                <w:szCs w:val="32"/>
              </w:rPr>
            </w:pPr>
            <w:r>
              <w:rPr>
                <w:rFonts w:hint="eastAsia" w:ascii="仿宋" w:hAnsi="仿宋" w:eastAsia="仿宋" w:cs="仿宋"/>
                <w:i w:val="0"/>
                <w:iCs w:val="0"/>
                <w:color w:val="000000"/>
                <w:kern w:val="0"/>
                <w:sz w:val="32"/>
                <w:szCs w:val="32"/>
                <w:u w:val="none"/>
                <w:lang w:val="en-US" w:eastAsia="zh-CN" w:bidi="ar"/>
              </w:rPr>
              <w:t xml:space="preserve">104.23 </w:t>
            </w:r>
          </w:p>
        </w:tc>
        <w:tc>
          <w:tcPr>
            <w:tcW w:w="1340" w:type="dxa"/>
            <w:gridSpan w:val="2"/>
            <w:tcBorders>
              <w:top w:val="single" w:color="000000" w:sz="4" w:space="0"/>
              <w:left w:val="single" w:color="000000" w:sz="4" w:space="0"/>
              <w:bottom w:val="single" w:color="000000" w:sz="4" w:space="0"/>
              <w:right w:val="single" w:color="000000" w:sz="4" w:space="0"/>
            </w:tcBorders>
            <w:vAlign w:val="center"/>
          </w:tcPr>
          <w:p w14:paraId="6D2870B3">
            <w:pPr>
              <w:keepNext w:val="0"/>
              <w:keepLines w:val="0"/>
              <w:widowControl/>
              <w:suppressLineNumbers w:val="0"/>
              <w:jc w:val="right"/>
              <w:textAlignment w:val="center"/>
              <w:rPr>
                <w:rFonts w:hint="eastAsia" w:ascii="仿宋" w:hAnsi="仿宋" w:eastAsia="仿宋" w:cs="仿宋"/>
                <w:sz w:val="32"/>
                <w:szCs w:val="32"/>
              </w:rPr>
            </w:pPr>
            <w:r>
              <w:rPr>
                <w:rFonts w:hint="eastAsia" w:ascii="仿宋" w:hAnsi="仿宋" w:eastAsia="仿宋" w:cs="仿宋"/>
                <w:i w:val="0"/>
                <w:iCs w:val="0"/>
                <w:color w:val="000000"/>
                <w:kern w:val="0"/>
                <w:sz w:val="32"/>
                <w:szCs w:val="32"/>
                <w:u w:val="none"/>
                <w:lang w:val="en-US" w:eastAsia="zh-CN" w:bidi="ar"/>
              </w:rPr>
              <w:t xml:space="preserve">103.84 </w:t>
            </w:r>
          </w:p>
        </w:tc>
        <w:tc>
          <w:tcPr>
            <w:tcW w:w="1460" w:type="dxa"/>
            <w:gridSpan w:val="2"/>
            <w:tcBorders>
              <w:top w:val="single" w:color="000000" w:sz="4" w:space="0"/>
              <w:left w:val="single" w:color="000000" w:sz="4" w:space="0"/>
              <w:bottom w:val="single" w:color="000000" w:sz="4" w:space="0"/>
              <w:right w:val="single" w:color="000000" w:sz="4" w:space="0"/>
            </w:tcBorders>
            <w:vAlign w:val="top"/>
          </w:tcPr>
          <w:p w14:paraId="7BB4412D">
            <w:pPr>
              <w:spacing w:before="79" w:line="239" w:lineRule="auto"/>
              <w:ind w:firstLine="652"/>
              <w:jc w:val="right"/>
              <w:rPr>
                <w:rFonts w:hint="eastAsia" w:ascii="仿宋" w:hAnsi="仿宋" w:eastAsia="仿宋" w:cs="仿宋"/>
                <w:sz w:val="32"/>
                <w:szCs w:val="32"/>
              </w:rPr>
            </w:pPr>
            <w:r>
              <w:rPr>
                <w:rFonts w:hint="eastAsia" w:ascii="仿宋" w:hAnsi="仿宋" w:eastAsia="仿宋" w:cs="仿宋"/>
                <w:color w:val="000000"/>
                <w:sz w:val="32"/>
                <w:szCs w:val="32"/>
                <w:lang w:val="en-US" w:eastAsia="zh-CN"/>
              </w:rPr>
              <w:t>99.6</w:t>
            </w:r>
            <w:r>
              <w:rPr>
                <w:rFonts w:hint="eastAsia" w:ascii="仿宋" w:hAnsi="仿宋" w:eastAsia="仿宋" w:cs="仿宋"/>
                <w:color w:val="000000"/>
                <w:sz w:val="32"/>
                <w:szCs w:val="32"/>
              </w:rPr>
              <w:t>%</w:t>
            </w:r>
          </w:p>
        </w:tc>
      </w:tr>
      <w:tr w14:paraId="0EFF29AF">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80" w:hRule="atLeast"/>
        </w:trPr>
        <w:tc>
          <w:tcPr>
            <w:tcW w:w="2740" w:type="dxa"/>
            <w:tcBorders>
              <w:top w:val="single" w:color="000000" w:sz="4" w:space="0"/>
              <w:left w:val="single" w:color="000000" w:sz="4" w:space="0"/>
              <w:bottom w:val="single" w:color="000000" w:sz="4" w:space="0"/>
              <w:right w:val="single" w:color="000000" w:sz="4" w:space="0"/>
            </w:tcBorders>
            <w:vAlign w:val="center"/>
          </w:tcPr>
          <w:p w14:paraId="3B5CC2BD">
            <w:pPr>
              <w:keepNext w:val="0"/>
              <w:keepLines w:val="0"/>
              <w:widowControl/>
              <w:suppressLineNumbers w:val="0"/>
              <w:jc w:val="left"/>
              <w:textAlignment w:val="center"/>
              <w:rPr>
                <w:rFonts w:hint="eastAsia" w:ascii="仿宋" w:hAnsi="仿宋" w:eastAsia="仿宋" w:cs="仿宋"/>
                <w:sz w:val="32"/>
                <w:szCs w:val="32"/>
              </w:rPr>
            </w:pPr>
            <w:r>
              <w:rPr>
                <w:rFonts w:hint="eastAsia" w:ascii="仿宋" w:hAnsi="仿宋" w:eastAsia="仿宋" w:cs="仿宋"/>
                <w:i w:val="0"/>
                <w:iCs w:val="0"/>
                <w:color w:val="000000"/>
                <w:kern w:val="0"/>
                <w:sz w:val="32"/>
                <w:szCs w:val="32"/>
                <w:u w:val="none"/>
                <w:lang w:val="en-US" w:eastAsia="zh-CN" w:bidi="ar"/>
              </w:rPr>
              <w:t>参加国内外比赛经费</w:t>
            </w:r>
          </w:p>
        </w:tc>
        <w:tc>
          <w:tcPr>
            <w:tcW w:w="1280" w:type="dxa"/>
            <w:gridSpan w:val="2"/>
            <w:tcBorders>
              <w:top w:val="single" w:color="000000" w:sz="4" w:space="0"/>
              <w:left w:val="single" w:color="000000" w:sz="4" w:space="0"/>
              <w:bottom w:val="single" w:color="000000" w:sz="4" w:space="0"/>
              <w:right w:val="single" w:color="000000" w:sz="4" w:space="0"/>
            </w:tcBorders>
            <w:vAlign w:val="center"/>
          </w:tcPr>
          <w:p w14:paraId="08402C5C">
            <w:pPr>
              <w:keepNext w:val="0"/>
              <w:keepLines w:val="0"/>
              <w:widowControl/>
              <w:suppressLineNumbers w:val="0"/>
              <w:jc w:val="right"/>
              <w:textAlignment w:val="center"/>
              <w:rPr>
                <w:rFonts w:hint="eastAsia" w:ascii="仿宋" w:hAnsi="仿宋" w:eastAsia="仿宋" w:cs="仿宋"/>
                <w:sz w:val="32"/>
                <w:szCs w:val="32"/>
              </w:rPr>
            </w:pPr>
            <w:r>
              <w:rPr>
                <w:rFonts w:hint="eastAsia" w:ascii="仿宋" w:hAnsi="仿宋" w:eastAsia="仿宋" w:cs="仿宋"/>
                <w:i w:val="0"/>
                <w:iCs w:val="0"/>
                <w:color w:val="000000"/>
                <w:kern w:val="0"/>
                <w:sz w:val="32"/>
                <w:szCs w:val="32"/>
                <w:u w:val="none"/>
                <w:lang w:val="en-US" w:eastAsia="zh-CN" w:bidi="ar"/>
              </w:rPr>
              <w:t xml:space="preserve">386.34 </w:t>
            </w:r>
          </w:p>
        </w:tc>
        <w:tc>
          <w:tcPr>
            <w:tcW w:w="1100" w:type="dxa"/>
            <w:gridSpan w:val="2"/>
            <w:tcBorders>
              <w:top w:val="single" w:color="000000" w:sz="4" w:space="0"/>
              <w:left w:val="single" w:color="000000" w:sz="4" w:space="0"/>
              <w:bottom w:val="single" w:color="000000" w:sz="4" w:space="0"/>
              <w:right w:val="single" w:color="000000" w:sz="4" w:space="0"/>
            </w:tcBorders>
            <w:vAlign w:val="top"/>
          </w:tcPr>
          <w:p w14:paraId="52E877BE">
            <w:pPr>
              <w:spacing w:before="68" w:line="239" w:lineRule="auto"/>
              <w:ind w:firstLine="525"/>
              <w:jc w:val="right"/>
              <w:rPr>
                <w:rFonts w:hint="eastAsia" w:ascii="仿宋" w:hAnsi="仿宋" w:eastAsia="仿宋" w:cs="仿宋"/>
                <w:sz w:val="32"/>
                <w:szCs w:val="32"/>
              </w:rPr>
            </w:pPr>
            <w:r>
              <w:rPr>
                <w:rFonts w:hint="eastAsia" w:ascii="仿宋" w:hAnsi="仿宋" w:eastAsia="仿宋" w:cs="仿宋"/>
                <w:color w:val="000000"/>
                <w:sz w:val="32"/>
                <w:szCs w:val="32"/>
              </w:rPr>
              <w:t>0.00</w:t>
            </w:r>
          </w:p>
        </w:tc>
        <w:tc>
          <w:tcPr>
            <w:tcW w:w="1340" w:type="dxa"/>
            <w:gridSpan w:val="2"/>
            <w:tcBorders>
              <w:top w:val="single" w:color="000000" w:sz="4" w:space="0"/>
              <w:left w:val="single" w:color="000000" w:sz="4" w:space="0"/>
              <w:bottom w:val="single" w:color="000000" w:sz="4" w:space="0"/>
              <w:right w:val="single" w:color="000000" w:sz="4" w:space="0"/>
            </w:tcBorders>
            <w:vAlign w:val="center"/>
          </w:tcPr>
          <w:p w14:paraId="419D3F83">
            <w:pPr>
              <w:keepNext w:val="0"/>
              <w:keepLines w:val="0"/>
              <w:widowControl/>
              <w:suppressLineNumbers w:val="0"/>
              <w:jc w:val="right"/>
              <w:textAlignment w:val="center"/>
              <w:rPr>
                <w:rFonts w:hint="eastAsia" w:ascii="仿宋" w:hAnsi="仿宋" w:eastAsia="仿宋" w:cs="仿宋"/>
                <w:sz w:val="32"/>
                <w:szCs w:val="32"/>
              </w:rPr>
            </w:pPr>
            <w:r>
              <w:rPr>
                <w:rFonts w:hint="eastAsia" w:ascii="仿宋" w:hAnsi="仿宋" w:eastAsia="仿宋" w:cs="仿宋"/>
                <w:i w:val="0"/>
                <w:iCs w:val="0"/>
                <w:color w:val="000000"/>
                <w:kern w:val="0"/>
                <w:sz w:val="32"/>
                <w:szCs w:val="32"/>
                <w:u w:val="none"/>
                <w:lang w:val="en-US" w:eastAsia="zh-CN" w:bidi="ar"/>
              </w:rPr>
              <w:t xml:space="preserve">386.34 </w:t>
            </w:r>
          </w:p>
        </w:tc>
        <w:tc>
          <w:tcPr>
            <w:tcW w:w="1340" w:type="dxa"/>
            <w:gridSpan w:val="2"/>
            <w:tcBorders>
              <w:top w:val="single" w:color="000000" w:sz="4" w:space="0"/>
              <w:left w:val="single" w:color="000000" w:sz="4" w:space="0"/>
              <w:bottom w:val="single" w:color="000000" w:sz="4" w:space="0"/>
              <w:right w:val="single" w:color="000000" w:sz="4" w:space="0"/>
            </w:tcBorders>
            <w:vAlign w:val="center"/>
          </w:tcPr>
          <w:p w14:paraId="6B04D57A">
            <w:pPr>
              <w:keepNext w:val="0"/>
              <w:keepLines w:val="0"/>
              <w:widowControl/>
              <w:suppressLineNumbers w:val="0"/>
              <w:jc w:val="right"/>
              <w:textAlignment w:val="center"/>
              <w:rPr>
                <w:rFonts w:hint="eastAsia" w:ascii="仿宋" w:hAnsi="仿宋" w:eastAsia="仿宋" w:cs="仿宋"/>
                <w:sz w:val="32"/>
                <w:szCs w:val="32"/>
              </w:rPr>
            </w:pPr>
            <w:r>
              <w:rPr>
                <w:rFonts w:hint="eastAsia" w:ascii="仿宋" w:hAnsi="仿宋" w:eastAsia="仿宋" w:cs="仿宋"/>
                <w:i w:val="0"/>
                <w:iCs w:val="0"/>
                <w:color w:val="000000"/>
                <w:kern w:val="0"/>
                <w:sz w:val="32"/>
                <w:szCs w:val="32"/>
                <w:u w:val="none"/>
                <w:lang w:val="en-US" w:eastAsia="zh-CN" w:bidi="ar"/>
              </w:rPr>
              <w:t xml:space="preserve">386.34 </w:t>
            </w:r>
          </w:p>
        </w:tc>
        <w:tc>
          <w:tcPr>
            <w:tcW w:w="1460" w:type="dxa"/>
            <w:gridSpan w:val="2"/>
            <w:tcBorders>
              <w:top w:val="single" w:color="000000" w:sz="4" w:space="0"/>
              <w:left w:val="single" w:color="000000" w:sz="4" w:space="0"/>
              <w:bottom w:val="single" w:color="000000" w:sz="4" w:space="0"/>
              <w:right w:val="single" w:color="000000" w:sz="4" w:space="0"/>
            </w:tcBorders>
            <w:vAlign w:val="top"/>
          </w:tcPr>
          <w:p w14:paraId="59449962">
            <w:pPr>
              <w:spacing w:before="88" w:line="239" w:lineRule="auto"/>
              <w:ind w:firstLine="652"/>
              <w:jc w:val="right"/>
              <w:rPr>
                <w:rFonts w:hint="eastAsia" w:ascii="仿宋" w:hAnsi="仿宋" w:eastAsia="仿宋" w:cs="仿宋"/>
                <w:sz w:val="32"/>
                <w:szCs w:val="32"/>
              </w:rPr>
            </w:pPr>
            <w:r>
              <w:rPr>
                <w:rFonts w:hint="eastAsia" w:ascii="仿宋" w:hAnsi="仿宋" w:eastAsia="仿宋" w:cs="仿宋"/>
                <w:color w:val="000000"/>
                <w:sz w:val="32"/>
                <w:szCs w:val="32"/>
                <w:lang w:val="en-US" w:eastAsia="zh-CN"/>
              </w:rPr>
              <w:t>100</w:t>
            </w:r>
            <w:r>
              <w:rPr>
                <w:rFonts w:hint="eastAsia" w:ascii="仿宋" w:hAnsi="仿宋" w:eastAsia="仿宋" w:cs="仿宋"/>
                <w:color w:val="000000"/>
                <w:sz w:val="32"/>
                <w:szCs w:val="32"/>
              </w:rPr>
              <w:t>%</w:t>
            </w:r>
          </w:p>
        </w:tc>
      </w:tr>
      <w:tr w14:paraId="5D1F8645">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80" w:hRule="atLeast"/>
        </w:trPr>
        <w:tc>
          <w:tcPr>
            <w:tcW w:w="2740" w:type="dxa"/>
            <w:tcBorders>
              <w:top w:val="single" w:color="000000" w:sz="4" w:space="0"/>
              <w:left w:val="single" w:color="000000" w:sz="4" w:space="0"/>
              <w:bottom w:val="single" w:color="000000" w:sz="4" w:space="0"/>
              <w:right w:val="single" w:color="000000" w:sz="4" w:space="0"/>
            </w:tcBorders>
            <w:vAlign w:val="center"/>
          </w:tcPr>
          <w:p w14:paraId="6C8EA25B">
            <w:pPr>
              <w:keepNext w:val="0"/>
              <w:keepLines w:val="0"/>
              <w:widowControl/>
              <w:suppressLineNumbers w:val="0"/>
              <w:jc w:val="left"/>
              <w:textAlignment w:val="center"/>
              <w:rPr>
                <w:rFonts w:hint="eastAsia" w:ascii="仿宋" w:hAnsi="仿宋" w:eastAsia="仿宋" w:cs="仿宋"/>
                <w:sz w:val="32"/>
                <w:szCs w:val="32"/>
              </w:rPr>
            </w:pPr>
            <w:r>
              <w:rPr>
                <w:rFonts w:hint="eastAsia" w:ascii="仿宋" w:hAnsi="仿宋" w:eastAsia="仿宋" w:cs="仿宋"/>
                <w:i w:val="0"/>
                <w:iCs w:val="0"/>
                <w:color w:val="000000"/>
                <w:kern w:val="0"/>
                <w:sz w:val="32"/>
                <w:szCs w:val="32"/>
                <w:u w:val="none"/>
                <w:lang w:val="en-US" w:eastAsia="zh-CN" w:bidi="ar"/>
              </w:rPr>
              <w:t>海上中心零星维修维护</w:t>
            </w:r>
          </w:p>
        </w:tc>
        <w:tc>
          <w:tcPr>
            <w:tcW w:w="1280" w:type="dxa"/>
            <w:gridSpan w:val="2"/>
            <w:tcBorders>
              <w:top w:val="single" w:color="000000" w:sz="4" w:space="0"/>
              <w:left w:val="single" w:color="000000" w:sz="4" w:space="0"/>
              <w:bottom w:val="single" w:color="000000" w:sz="4" w:space="0"/>
              <w:right w:val="single" w:color="000000" w:sz="4" w:space="0"/>
            </w:tcBorders>
            <w:vAlign w:val="center"/>
          </w:tcPr>
          <w:p w14:paraId="3797863B">
            <w:pPr>
              <w:keepNext w:val="0"/>
              <w:keepLines w:val="0"/>
              <w:widowControl/>
              <w:suppressLineNumbers w:val="0"/>
              <w:jc w:val="right"/>
              <w:textAlignment w:val="center"/>
              <w:rPr>
                <w:rFonts w:hint="eastAsia" w:ascii="仿宋" w:hAnsi="仿宋" w:eastAsia="仿宋" w:cs="仿宋"/>
                <w:sz w:val="32"/>
                <w:szCs w:val="32"/>
              </w:rPr>
            </w:pPr>
            <w:r>
              <w:rPr>
                <w:rFonts w:hint="eastAsia" w:ascii="仿宋" w:hAnsi="仿宋" w:eastAsia="仿宋" w:cs="仿宋"/>
                <w:i w:val="0"/>
                <w:iCs w:val="0"/>
                <w:color w:val="000000"/>
                <w:kern w:val="0"/>
                <w:sz w:val="32"/>
                <w:szCs w:val="32"/>
                <w:u w:val="none"/>
                <w:lang w:val="en-US" w:eastAsia="zh-CN" w:bidi="ar"/>
              </w:rPr>
              <w:t xml:space="preserve">27.30 </w:t>
            </w:r>
          </w:p>
        </w:tc>
        <w:tc>
          <w:tcPr>
            <w:tcW w:w="1100" w:type="dxa"/>
            <w:gridSpan w:val="2"/>
            <w:tcBorders>
              <w:top w:val="single" w:color="000000" w:sz="4" w:space="0"/>
              <w:left w:val="single" w:color="000000" w:sz="4" w:space="0"/>
              <w:bottom w:val="single" w:color="000000" w:sz="4" w:space="0"/>
              <w:right w:val="single" w:color="000000" w:sz="4" w:space="0"/>
            </w:tcBorders>
            <w:vAlign w:val="top"/>
          </w:tcPr>
          <w:p w14:paraId="6E3398D5">
            <w:pPr>
              <w:spacing w:before="96" w:line="239" w:lineRule="auto"/>
              <w:ind w:firstLine="525"/>
              <w:jc w:val="right"/>
              <w:rPr>
                <w:rFonts w:hint="eastAsia" w:ascii="仿宋" w:hAnsi="仿宋" w:eastAsia="仿宋" w:cs="仿宋"/>
                <w:sz w:val="32"/>
                <w:szCs w:val="32"/>
              </w:rPr>
            </w:pPr>
            <w:r>
              <w:rPr>
                <w:rFonts w:hint="eastAsia" w:ascii="仿宋" w:hAnsi="仿宋" w:eastAsia="仿宋" w:cs="仿宋"/>
                <w:color w:val="000000"/>
                <w:sz w:val="32"/>
                <w:szCs w:val="32"/>
              </w:rPr>
              <w:t>0.00</w:t>
            </w:r>
          </w:p>
        </w:tc>
        <w:tc>
          <w:tcPr>
            <w:tcW w:w="1340" w:type="dxa"/>
            <w:gridSpan w:val="2"/>
            <w:tcBorders>
              <w:top w:val="single" w:color="000000" w:sz="4" w:space="0"/>
              <w:left w:val="single" w:color="000000" w:sz="4" w:space="0"/>
              <w:bottom w:val="single" w:color="000000" w:sz="4" w:space="0"/>
              <w:right w:val="single" w:color="000000" w:sz="4" w:space="0"/>
            </w:tcBorders>
            <w:vAlign w:val="center"/>
          </w:tcPr>
          <w:p w14:paraId="34E2CF8D">
            <w:pPr>
              <w:keepNext w:val="0"/>
              <w:keepLines w:val="0"/>
              <w:widowControl/>
              <w:suppressLineNumbers w:val="0"/>
              <w:jc w:val="right"/>
              <w:textAlignment w:val="center"/>
              <w:rPr>
                <w:rFonts w:hint="eastAsia" w:ascii="仿宋" w:hAnsi="仿宋" w:eastAsia="仿宋" w:cs="仿宋"/>
                <w:sz w:val="32"/>
                <w:szCs w:val="32"/>
              </w:rPr>
            </w:pPr>
            <w:r>
              <w:rPr>
                <w:rFonts w:hint="eastAsia" w:ascii="仿宋" w:hAnsi="仿宋" w:eastAsia="仿宋" w:cs="仿宋"/>
                <w:i w:val="0"/>
                <w:iCs w:val="0"/>
                <w:color w:val="000000"/>
                <w:kern w:val="0"/>
                <w:sz w:val="32"/>
                <w:szCs w:val="32"/>
                <w:u w:val="none"/>
                <w:lang w:val="en-US" w:eastAsia="zh-CN" w:bidi="ar"/>
              </w:rPr>
              <w:t xml:space="preserve">27.30 </w:t>
            </w:r>
          </w:p>
        </w:tc>
        <w:tc>
          <w:tcPr>
            <w:tcW w:w="1340" w:type="dxa"/>
            <w:gridSpan w:val="2"/>
            <w:tcBorders>
              <w:top w:val="single" w:color="000000" w:sz="4" w:space="0"/>
              <w:left w:val="single" w:color="000000" w:sz="4" w:space="0"/>
              <w:bottom w:val="single" w:color="000000" w:sz="4" w:space="0"/>
              <w:right w:val="single" w:color="000000" w:sz="4" w:space="0"/>
            </w:tcBorders>
            <w:vAlign w:val="center"/>
          </w:tcPr>
          <w:p w14:paraId="038A6778">
            <w:pPr>
              <w:keepNext w:val="0"/>
              <w:keepLines w:val="0"/>
              <w:widowControl/>
              <w:suppressLineNumbers w:val="0"/>
              <w:jc w:val="right"/>
              <w:textAlignment w:val="center"/>
              <w:rPr>
                <w:rFonts w:hint="eastAsia" w:ascii="仿宋" w:hAnsi="仿宋" w:eastAsia="仿宋" w:cs="仿宋"/>
                <w:sz w:val="32"/>
                <w:szCs w:val="32"/>
              </w:rPr>
            </w:pPr>
            <w:r>
              <w:rPr>
                <w:rFonts w:hint="eastAsia" w:ascii="仿宋" w:hAnsi="仿宋" w:eastAsia="仿宋" w:cs="仿宋"/>
                <w:i w:val="0"/>
                <w:iCs w:val="0"/>
                <w:color w:val="000000"/>
                <w:kern w:val="0"/>
                <w:sz w:val="32"/>
                <w:szCs w:val="32"/>
                <w:u w:val="none"/>
                <w:lang w:val="en-US" w:eastAsia="zh-CN" w:bidi="ar"/>
              </w:rPr>
              <w:t xml:space="preserve">27.30 </w:t>
            </w:r>
          </w:p>
        </w:tc>
        <w:tc>
          <w:tcPr>
            <w:tcW w:w="1460" w:type="dxa"/>
            <w:gridSpan w:val="2"/>
            <w:tcBorders>
              <w:top w:val="single" w:color="000000" w:sz="4" w:space="0"/>
              <w:left w:val="single" w:color="000000" w:sz="4" w:space="0"/>
              <w:bottom w:val="single" w:color="000000" w:sz="4" w:space="0"/>
              <w:right w:val="single" w:color="000000" w:sz="4" w:space="0"/>
            </w:tcBorders>
            <w:vAlign w:val="top"/>
          </w:tcPr>
          <w:p w14:paraId="27670AF4">
            <w:pPr>
              <w:spacing w:before="96" w:line="239" w:lineRule="auto"/>
              <w:ind w:firstLine="632"/>
              <w:jc w:val="right"/>
              <w:rPr>
                <w:rFonts w:hint="eastAsia" w:ascii="仿宋" w:hAnsi="仿宋" w:eastAsia="仿宋" w:cs="仿宋"/>
                <w:sz w:val="32"/>
                <w:szCs w:val="32"/>
              </w:rPr>
            </w:pPr>
            <w:r>
              <w:rPr>
                <w:rFonts w:hint="eastAsia" w:ascii="仿宋" w:hAnsi="仿宋" w:eastAsia="仿宋" w:cs="仿宋"/>
                <w:color w:val="000000"/>
                <w:sz w:val="32"/>
                <w:szCs w:val="32"/>
                <w:lang w:val="en-US" w:eastAsia="zh-CN"/>
              </w:rPr>
              <w:t>100</w:t>
            </w:r>
            <w:r>
              <w:rPr>
                <w:rFonts w:hint="eastAsia" w:ascii="仿宋" w:hAnsi="仿宋" w:eastAsia="仿宋" w:cs="仿宋"/>
                <w:color w:val="000000"/>
                <w:sz w:val="32"/>
                <w:szCs w:val="32"/>
              </w:rPr>
              <w:t>%</w:t>
            </w:r>
          </w:p>
        </w:tc>
      </w:tr>
      <w:tr w14:paraId="6CF7CFD1">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80" w:hRule="atLeast"/>
        </w:trPr>
        <w:tc>
          <w:tcPr>
            <w:tcW w:w="2740" w:type="dxa"/>
            <w:tcBorders>
              <w:top w:val="single" w:color="000000" w:sz="4" w:space="0"/>
              <w:left w:val="single" w:color="000000" w:sz="4" w:space="0"/>
              <w:bottom w:val="single" w:color="000000" w:sz="4" w:space="0"/>
              <w:right w:val="single" w:color="000000" w:sz="4" w:space="0"/>
            </w:tcBorders>
            <w:vAlign w:val="center"/>
          </w:tcPr>
          <w:p w14:paraId="5C710042">
            <w:pPr>
              <w:keepNext w:val="0"/>
              <w:keepLines w:val="0"/>
              <w:widowControl/>
              <w:suppressLineNumbers w:val="0"/>
              <w:jc w:val="left"/>
              <w:textAlignment w:val="center"/>
              <w:rPr>
                <w:rFonts w:hint="eastAsia" w:ascii="仿宋" w:hAnsi="仿宋" w:eastAsia="仿宋" w:cs="仿宋"/>
                <w:sz w:val="32"/>
                <w:szCs w:val="32"/>
              </w:rPr>
            </w:pPr>
            <w:r>
              <w:rPr>
                <w:rFonts w:hint="eastAsia" w:ascii="仿宋" w:hAnsi="仿宋" w:eastAsia="仿宋" w:cs="仿宋"/>
                <w:i w:val="0"/>
                <w:iCs w:val="0"/>
                <w:color w:val="000000"/>
                <w:kern w:val="0"/>
                <w:sz w:val="32"/>
                <w:szCs w:val="32"/>
                <w:u w:val="none"/>
                <w:lang w:val="en-US" w:eastAsia="zh-CN" w:bidi="ar"/>
              </w:rPr>
              <w:t>海上中心退役运动员一次性补偿</w:t>
            </w:r>
          </w:p>
        </w:tc>
        <w:tc>
          <w:tcPr>
            <w:tcW w:w="1280" w:type="dxa"/>
            <w:gridSpan w:val="2"/>
            <w:tcBorders>
              <w:top w:val="single" w:color="000000" w:sz="4" w:space="0"/>
              <w:left w:val="single" w:color="000000" w:sz="4" w:space="0"/>
              <w:bottom w:val="single" w:color="000000" w:sz="4" w:space="0"/>
              <w:right w:val="single" w:color="000000" w:sz="4" w:space="0"/>
            </w:tcBorders>
            <w:vAlign w:val="center"/>
          </w:tcPr>
          <w:p w14:paraId="653A8E10">
            <w:pPr>
              <w:keepNext w:val="0"/>
              <w:keepLines w:val="0"/>
              <w:widowControl/>
              <w:suppressLineNumbers w:val="0"/>
              <w:jc w:val="right"/>
              <w:textAlignment w:val="center"/>
              <w:rPr>
                <w:rFonts w:hint="eastAsia" w:ascii="仿宋" w:hAnsi="仿宋" w:eastAsia="仿宋" w:cs="仿宋"/>
                <w:sz w:val="32"/>
                <w:szCs w:val="32"/>
              </w:rPr>
            </w:pPr>
            <w:r>
              <w:rPr>
                <w:rFonts w:hint="eastAsia" w:ascii="仿宋" w:hAnsi="仿宋" w:eastAsia="仿宋" w:cs="仿宋"/>
                <w:i w:val="0"/>
                <w:iCs w:val="0"/>
                <w:color w:val="000000"/>
                <w:kern w:val="0"/>
                <w:sz w:val="32"/>
                <w:szCs w:val="32"/>
                <w:u w:val="none"/>
                <w:lang w:val="en-US" w:eastAsia="zh-CN" w:bidi="ar"/>
              </w:rPr>
              <w:t xml:space="preserve">8.21 </w:t>
            </w:r>
          </w:p>
        </w:tc>
        <w:tc>
          <w:tcPr>
            <w:tcW w:w="1100" w:type="dxa"/>
            <w:gridSpan w:val="2"/>
            <w:tcBorders>
              <w:top w:val="single" w:color="000000" w:sz="4" w:space="0"/>
              <w:left w:val="single" w:color="000000" w:sz="4" w:space="0"/>
              <w:bottom w:val="single" w:color="000000" w:sz="4" w:space="0"/>
              <w:right w:val="single" w:color="000000" w:sz="4" w:space="0"/>
            </w:tcBorders>
            <w:vAlign w:val="top"/>
          </w:tcPr>
          <w:p w14:paraId="0F79B0DD">
            <w:pPr>
              <w:spacing w:before="84" w:line="239" w:lineRule="auto"/>
              <w:ind w:firstLine="525"/>
              <w:jc w:val="right"/>
              <w:rPr>
                <w:rFonts w:hint="eastAsia" w:ascii="仿宋" w:hAnsi="仿宋" w:eastAsia="仿宋" w:cs="仿宋"/>
                <w:sz w:val="32"/>
                <w:szCs w:val="32"/>
              </w:rPr>
            </w:pPr>
            <w:r>
              <w:rPr>
                <w:rFonts w:hint="eastAsia" w:ascii="仿宋" w:hAnsi="仿宋" w:eastAsia="仿宋" w:cs="仿宋"/>
                <w:color w:val="000000"/>
                <w:sz w:val="32"/>
                <w:szCs w:val="32"/>
              </w:rPr>
              <w:t>0.00</w:t>
            </w:r>
          </w:p>
        </w:tc>
        <w:tc>
          <w:tcPr>
            <w:tcW w:w="1340" w:type="dxa"/>
            <w:gridSpan w:val="2"/>
            <w:tcBorders>
              <w:top w:val="single" w:color="000000" w:sz="4" w:space="0"/>
              <w:left w:val="single" w:color="000000" w:sz="4" w:space="0"/>
              <w:bottom w:val="single" w:color="000000" w:sz="4" w:space="0"/>
              <w:right w:val="single" w:color="000000" w:sz="4" w:space="0"/>
            </w:tcBorders>
            <w:vAlign w:val="center"/>
          </w:tcPr>
          <w:p w14:paraId="20B2A523">
            <w:pPr>
              <w:keepNext w:val="0"/>
              <w:keepLines w:val="0"/>
              <w:widowControl/>
              <w:suppressLineNumbers w:val="0"/>
              <w:jc w:val="right"/>
              <w:textAlignment w:val="center"/>
              <w:rPr>
                <w:rFonts w:hint="eastAsia" w:ascii="仿宋" w:hAnsi="仿宋" w:eastAsia="仿宋" w:cs="仿宋"/>
                <w:sz w:val="32"/>
                <w:szCs w:val="32"/>
              </w:rPr>
            </w:pPr>
            <w:r>
              <w:rPr>
                <w:rFonts w:hint="eastAsia" w:ascii="仿宋" w:hAnsi="仿宋" w:eastAsia="仿宋" w:cs="仿宋"/>
                <w:i w:val="0"/>
                <w:iCs w:val="0"/>
                <w:color w:val="000000"/>
                <w:kern w:val="0"/>
                <w:sz w:val="32"/>
                <w:szCs w:val="32"/>
                <w:u w:val="none"/>
                <w:lang w:val="en-US" w:eastAsia="zh-CN" w:bidi="ar"/>
              </w:rPr>
              <w:t xml:space="preserve">8.21 </w:t>
            </w:r>
          </w:p>
        </w:tc>
        <w:tc>
          <w:tcPr>
            <w:tcW w:w="1340" w:type="dxa"/>
            <w:gridSpan w:val="2"/>
            <w:tcBorders>
              <w:top w:val="single" w:color="000000" w:sz="4" w:space="0"/>
              <w:left w:val="single" w:color="000000" w:sz="4" w:space="0"/>
              <w:bottom w:val="single" w:color="000000" w:sz="4" w:space="0"/>
              <w:right w:val="single" w:color="000000" w:sz="4" w:space="0"/>
            </w:tcBorders>
            <w:vAlign w:val="center"/>
          </w:tcPr>
          <w:p w14:paraId="6405ADA5">
            <w:pPr>
              <w:keepNext w:val="0"/>
              <w:keepLines w:val="0"/>
              <w:widowControl/>
              <w:suppressLineNumbers w:val="0"/>
              <w:jc w:val="right"/>
              <w:textAlignment w:val="center"/>
              <w:rPr>
                <w:rFonts w:hint="eastAsia" w:ascii="仿宋" w:hAnsi="仿宋" w:eastAsia="仿宋" w:cs="仿宋"/>
                <w:sz w:val="32"/>
                <w:szCs w:val="32"/>
              </w:rPr>
            </w:pPr>
            <w:r>
              <w:rPr>
                <w:rFonts w:hint="eastAsia" w:ascii="仿宋" w:hAnsi="仿宋" w:eastAsia="仿宋" w:cs="仿宋"/>
                <w:i w:val="0"/>
                <w:iCs w:val="0"/>
                <w:color w:val="000000"/>
                <w:kern w:val="0"/>
                <w:sz w:val="32"/>
                <w:szCs w:val="32"/>
                <w:u w:val="none"/>
                <w:lang w:val="en-US" w:eastAsia="zh-CN" w:bidi="ar"/>
              </w:rPr>
              <w:t xml:space="preserve">8.21 </w:t>
            </w:r>
          </w:p>
        </w:tc>
        <w:tc>
          <w:tcPr>
            <w:tcW w:w="1460" w:type="dxa"/>
            <w:gridSpan w:val="2"/>
            <w:tcBorders>
              <w:top w:val="single" w:color="000000" w:sz="4" w:space="0"/>
              <w:left w:val="single" w:color="000000" w:sz="4" w:space="0"/>
              <w:bottom w:val="single" w:color="000000" w:sz="4" w:space="0"/>
              <w:right w:val="single" w:color="000000" w:sz="4" w:space="0"/>
            </w:tcBorders>
            <w:vAlign w:val="top"/>
          </w:tcPr>
          <w:p w14:paraId="3654C433">
            <w:pPr>
              <w:spacing w:before="84" w:line="239" w:lineRule="auto"/>
              <w:ind w:firstLine="552"/>
              <w:jc w:val="right"/>
              <w:rPr>
                <w:rFonts w:hint="eastAsia" w:ascii="仿宋" w:hAnsi="仿宋" w:eastAsia="仿宋" w:cs="仿宋"/>
                <w:sz w:val="32"/>
                <w:szCs w:val="32"/>
              </w:rPr>
            </w:pPr>
            <w:r>
              <w:rPr>
                <w:rFonts w:hint="eastAsia" w:ascii="仿宋" w:hAnsi="仿宋" w:eastAsia="仿宋" w:cs="仿宋"/>
                <w:color w:val="000000"/>
                <w:sz w:val="32"/>
                <w:szCs w:val="32"/>
              </w:rPr>
              <w:t>100.00%</w:t>
            </w:r>
          </w:p>
        </w:tc>
      </w:tr>
      <w:tr w14:paraId="6DD1DB02">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80" w:hRule="atLeast"/>
        </w:trPr>
        <w:tc>
          <w:tcPr>
            <w:tcW w:w="2740" w:type="dxa"/>
            <w:tcBorders>
              <w:top w:val="single" w:color="000000" w:sz="4" w:space="0"/>
              <w:left w:val="single" w:color="000000" w:sz="4" w:space="0"/>
              <w:bottom w:val="single" w:color="000000" w:sz="4" w:space="0"/>
              <w:right w:val="single" w:color="000000" w:sz="4" w:space="0"/>
            </w:tcBorders>
            <w:vAlign w:val="center"/>
          </w:tcPr>
          <w:p w14:paraId="11F9A9B8">
            <w:pPr>
              <w:keepNext w:val="0"/>
              <w:keepLines w:val="0"/>
              <w:widowControl/>
              <w:suppressLineNumbers w:val="0"/>
              <w:jc w:val="left"/>
              <w:textAlignment w:val="center"/>
              <w:rPr>
                <w:rFonts w:hint="eastAsia" w:ascii="仿宋" w:hAnsi="仿宋" w:eastAsia="仿宋" w:cs="仿宋"/>
                <w:sz w:val="32"/>
                <w:szCs w:val="32"/>
              </w:rPr>
            </w:pPr>
            <w:r>
              <w:rPr>
                <w:rFonts w:hint="eastAsia" w:ascii="仿宋" w:hAnsi="仿宋" w:eastAsia="仿宋" w:cs="仿宋"/>
                <w:i w:val="0"/>
                <w:iCs w:val="0"/>
                <w:color w:val="000000"/>
                <w:kern w:val="0"/>
                <w:sz w:val="32"/>
                <w:szCs w:val="32"/>
                <w:u w:val="none"/>
                <w:lang w:val="en-US" w:eastAsia="zh-CN" w:bidi="ar"/>
              </w:rPr>
              <w:t>广东海上项目训练中心零星维修维护</w:t>
            </w:r>
          </w:p>
        </w:tc>
        <w:tc>
          <w:tcPr>
            <w:tcW w:w="1280" w:type="dxa"/>
            <w:gridSpan w:val="2"/>
            <w:tcBorders>
              <w:top w:val="single" w:color="000000" w:sz="4" w:space="0"/>
              <w:left w:val="single" w:color="000000" w:sz="4" w:space="0"/>
              <w:bottom w:val="single" w:color="000000" w:sz="4" w:space="0"/>
              <w:right w:val="single" w:color="000000" w:sz="4" w:space="0"/>
            </w:tcBorders>
            <w:vAlign w:val="center"/>
          </w:tcPr>
          <w:p w14:paraId="4C480116">
            <w:pPr>
              <w:keepNext w:val="0"/>
              <w:keepLines w:val="0"/>
              <w:widowControl/>
              <w:suppressLineNumbers w:val="0"/>
              <w:jc w:val="right"/>
              <w:textAlignment w:val="center"/>
              <w:rPr>
                <w:rFonts w:hint="eastAsia" w:ascii="仿宋" w:hAnsi="仿宋" w:eastAsia="仿宋" w:cs="仿宋"/>
                <w:sz w:val="32"/>
                <w:szCs w:val="32"/>
              </w:rPr>
            </w:pPr>
            <w:r>
              <w:rPr>
                <w:rFonts w:hint="eastAsia" w:ascii="仿宋" w:hAnsi="仿宋" w:eastAsia="仿宋" w:cs="仿宋"/>
                <w:i w:val="0"/>
                <w:iCs w:val="0"/>
                <w:color w:val="000000"/>
                <w:kern w:val="0"/>
                <w:sz w:val="32"/>
                <w:szCs w:val="32"/>
                <w:u w:val="none"/>
                <w:lang w:val="en-US" w:eastAsia="zh-CN" w:bidi="ar"/>
              </w:rPr>
              <w:t xml:space="preserve">315 </w:t>
            </w:r>
          </w:p>
        </w:tc>
        <w:tc>
          <w:tcPr>
            <w:tcW w:w="1100" w:type="dxa"/>
            <w:gridSpan w:val="2"/>
            <w:tcBorders>
              <w:top w:val="single" w:color="000000" w:sz="4" w:space="0"/>
              <w:left w:val="single" w:color="000000" w:sz="4" w:space="0"/>
              <w:bottom w:val="single" w:color="000000" w:sz="4" w:space="0"/>
              <w:right w:val="single" w:color="000000" w:sz="4" w:space="0"/>
            </w:tcBorders>
            <w:vAlign w:val="top"/>
          </w:tcPr>
          <w:p w14:paraId="1CA657B5">
            <w:pPr>
              <w:spacing w:before="92" w:line="239" w:lineRule="auto"/>
              <w:ind w:firstLine="525"/>
              <w:jc w:val="right"/>
              <w:rPr>
                <w:rFonts w:hint="eastAsia" w:ascii="仿宋" w:hAnsi="仿宋" w:eastAsia="仿宋" w:cs="仿宋"/>
                <w:sz w:val="32"/>
                <w:szCs w:val="32"/>
              </w:rPr>
            </w:pPr>
            <w:r>
              <w:rPr>
                <w:rFonts w:hint="eastAsia" w:ascii="仿宋" w:hAnsi="仿宋" w:eastAsia="仿宋" w:cs="仿宋"/>
                <w:color w:val="000000"/>
                <w:sz w:val="32"/>
                <w:szCs w:val="32"/>
              </w:rPr>
              <w:t>0.00</w:t>
            </w:r>
          </w:p>
        </w:tc>
        <w:tc>
          <w:tcPr>
            <w:tcW w:w="1340" w:type="dxa"/>
            <w:gridSpan w:val="2"/>
            <w:tcBorders>
              <w:top w:val="single" w:color="000000" w:sz="4" w:space="0"/>
              <w:left w:val="single" w:color="000000" w:sz="4" w:space="0"/>
              <w:bottom w:val="single" w:color="000000" w:sz="4" w:space="0"/>
              <w:right w:val="single" w:color="000000" w:sz="4" w:space="0"/>
            </w:tcBorders>
            <w:vAlign w:val="center"/>
          </w:tcPr>
          <w:p w14:paraId="2BE85ED3">
            <w:pPr>
              <w:keepNext w:val="0"/>
              <w:keepLines w:val="0"/>
              <w:widowControl/>
              <w:suppressLineNumbers w:val="0"/>
              <w:jc w:val="right"/>
              <w:textAlignment w:val="center"/>
              <w:rPr>
                <w:rFonts w:hint="eastAsia" w:ascii="仿宋" w:hAnsi="仿宋" w:eastAsia="仿宋" w:cs="仿宋"/>
                <w:sz w:val="32"/>
                <w:szCs w:val="32"/>
              </w:rPr>
            </w:pPr>
            <w:r>
              <w:rPr>
                <w:rFonts w:hint="eastAsia" w:ascii="仿宋" w:hAnsi="仿宋" w:eastAsia="仿宋" w:cs="仿宋"/>
                <w:i w:val="0"/>
                <w:iCs w:val="0"/>
                <w:color w:val="000000"/>
                <w:kern w:val="0"/>
                <w:sz w:val="32"/>
                <w:szCs w:val="32"/>
                <w:u w:val="none"/>
                <w:lang w:val="en-US" w:eastAsia="zh-CN" w:bidi="ar"/>
              </w:rPr>
              <w:t xml:space="preserve">315 </w:t>
            </w:r>
          </w:p>
        </w:tc>
        <w:tc>
          <w:tcPr>
            <w:tcW w:w="1340" w:type="dxa"/>
            <w:gridSpan w:val="2"/>
            <w:tcBorders>
              <w:top w:val="single" w:color="000000" w:sz="4" w:space="0"/>
              <w:left w:val="single" w:color="000000" w:sz="4" w:space="0"/>
              <w:bottom w:val="single" w:color="000000" w:sz="4" w:space="0"/>
              <w:right w:val="single" w:color="000000" w:sz="4" w:space="0"/>
            </w:tcBorders>
            <w:vAlign w:val="center"/>
          </w:tcPr>
          <w:p w14:paraId="4FE5D3A1">
            <w:pPr>
              <w:keepNext w:val="0"/>
              <w:keepLines w:val="0"/>
              <w:widowControl/>
              <w:suppressLineNumbers w:val="0"/>
              <w:jc w:val="right"/>
              <w:textAlignment w:val="center"/>
              <w:rPr>
                <w:rFonts w:hint="eastAsia" w:ascii="仿宋" w:hAnsi="仿宋" w:eastAsia="仿宋" w:cs="仿宋"/>
                <w:sz w:val="32"/>
                <w:szCs w:val="32"/>
              </w:rPr>
            </w:pPr>
            <w:r>
              <w:rPr>
                <w:rFonts w:hint="eastAsia" w:ascii="仿宋" w:hAnsi="仿宋" w:eastAsia="仿宋" w:cs="仿宋"/>
                <w:i w:val="0"/>
                <w:iCs w:val="0"/>
                <w:color w:val="000000"/>
                <w:kern w:val="0"/>
                <w:sz w:val="32"/>
                <w:szCs w:val="32"/>
                <w:u w:val="none"/>
                <w:lang w:val="en-US" w:eastAsia="zh-CN" w:bidi="ar"/>
              </w:rPr>
              <w:t xml:space="preserve">161.6 </w:t>
            </w:r>
          </w:p>
        </w:tc>
        <w:tc>
          <w:tcPr>
            <w:tcW w:w="1460" w:type="dxa"/>
            <w:gridSpan w:val="2"/>
            <w:tcBorders>
              <w:top w:val="single" w:color="000000" w:sz="4" w:space="0"/>
              <w:left w:val="single" w:color="000000" w:sz="4" w:space="0"/>
              <w:bottom w:val="single" w:color="000000" w:sz="4" w:space="0"/>
              <w:right w:val="single" w:color="000000" w:sz="4" w:space="0"/>
            </w:tcBorders>
            <w:vAlign w:val="top"/>
          </w:tcPr>
          <w:p w14:paraId="30325636">
            <w:pPr>
              <w:spacing w:before="92" w:line="239" w:lineRule="auto"/>
              <w:ind w:firstLine="652"/>
              <w:jc w:val="right"/>
              <w:rPr>
                <w:rFonts w:hint="eastAsia" w:ascii="仿宋" w:hAnsi="仿宋" w:eastAsia="仿宋" w:cs="仿宋"/>
                <w:sz w:val="32"/>
                <w:szCs w:val="32"/>
              </w:rPr>
            </w:pPr>
            <w:r>
              <w:rPr>
                <w:rFonts w:hint="eastAsia" w:ascii="仿宋" w:hAnsi="仿宋" w:eastAsia="仿宋" w:cs="仿宋"/>
                <w:color w:val="000000"/>
                <w:sz w:val="32"/>
                <w:szCs w:val="32"/>
                <w:lang w:val="en-US" w:eastAsia="zh-CN"/>
              </w:rPr>
              <w:t>51.3</w:t>
            </w:r>
            <w:r>
              <w:rPr>
                <w:rFonts w:hint="eastAsia" w:ascii="仿宋" w:hAnsi="仿宋" w:eastAsia="仿宋" w:cs="仿宋"/>
                <w:color w:val="000000"/>
                <w:sz w:val="32"/>
                <w:szCs w:val="32"/>
              </w:rPr>
              <w:t>%</w:t>
            </w:r>
          </w:p>
        </w:tc>
      </w:tr>
      <w:tr w14:paraId="6CF268C8">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80" w:hRule="atLeast"/>
        </w:trPr>
        <w:tc>
          <w:tcPr>
            <w:tcW w:w="2740" w:type="dxa"/>
            <w:tcBorders>
              <w:top w:val="single" w:color="000000" w:sz="4" w:space="0"/>
              <w:left w:val="single" w:color="000000" w:sz="4" w:space="0"/>
              <w:bottom w:val="single" w:color="000000" w:sz="4" w:space="0"/>
              <w:right w:val="single" w:color="000000" w:sz="4" w:space="0"/>
            </w:tcBorders>
            <w:vAlign w:val="center"/>
          </w:tcPr>
          <w:p w14:paraId="5B73A80D">
            <w:pPr>
              <w:keepNext w:val="0"/>
              <w:keepLines w:val="0"/>
              <w:widowControl/>
              <w:suppressLineNumbers w:val="0"/>
              <w:jc w:val="left"/>
              <w:textAlignment w:val="center"/>
              <w:rPr>
                <w:rFonts w:hint="eastAsia" w:ascii="仿宋" w:hAnsi="仿宋" w:eastAsia="仿宋" w:cs="仿宋"/>
                <w:sz w:val="32"/>
                <w:szCs w:val="32"/>
              </w:rPr>
            </w:pPr>
            <w:r>
              <w:rPr>
                <w:rFonts w:hint="eastAsia" w:ascii="仿宋" w:hAnsi="仿宋" w:eastAsia="仿宋" w:cs="仿宋"/>
                <w:i w:val="0"/>
                <w:iCs w:val="0"/>
                <w:color w:val="000000"/>
                <w:kern w:val="0"/>
                <w:sz w:val="32"/>
                <w:szCs w:val="32"/>
                <w:u w:val="none"/>
                <w:lang w:val="en-US" w:eastAsia="zh-CN" w:bidi="ar"/>
              </w:rPr>
              <w:t>十五运科研运作经费</w:t>
            </w:r>
          </w:p>
        </w:tc>
        <w:tc>
          <w:tcPr>
            <w:tcW w:w="1280" w:type="dxa"/>
            <w:gridSpan w:val="2"/>
            <w:tcBorders>
              <w:top w:val="single" w:color="000000" w:sz="4" w:space="0"/>
              <w:left w:val="single" w:color="000000" w:sz="4" w:space="0"/>
              <w:bottom w:val="single" w:color="000000" w:sz="4" w:space="0"/>
              <w:right w:val="single" w:color="000000" w:sz="4" w:space="0"/>
            </w:tcBorders>
            <w:vAlign w:val="center"/>
          </w:tcPr>
          <w:p w14:paraId="51CF3262">
            <w:pPr>
              <w:keepNext w:val="0"/>
              <w:keepLines w:val="0"/>
              <w:widowControl/>
              <w:suppressLineNumbers w:val="0"/>
              <w:jc w:val="right"/>
              <w:textAlignment w:val="center"/>
              <w:rPr>
                <w:rFonts w:hint="eastAsia" w:ascii="仿宋" w:hAnsi="仿宋" w:eastAsia="仿宋" w:cs="仿宋"/>
                <w:sz w:val="32"/>
                <w:szCs w:val="32"/>
              </w:rPr>
            </w:pPr>
            <w:r>
              <w:rPr>
                <w:rFonts w:hint="eastAsia" w:ascii="仿宋" w:hAnsi="仿宋" w:eastAsia="仿宋" w:cs="仿宋"/>
                <w:i w:val="0"/>
                <w:iCs w:val="0"/>
                <w:color w:val="000000"/>
                <w:kern w:val="0"/>
                <w:sz w:val="32"/>
                <w:szCs w:val="32"/>
                <w:u w:val="none"/>
                <w:lang w:val="en-US" w:eastAsia="zh-CN" w:bidi="ar"/>
              </w:rPr>
              <w:t xml:space="preserve">98 </w:t>
            </w:r>
          </w:p>
        </w:tc>
        <w:tc>
          <w:tcPr>
            <w:tcW w:w="1100" w:type="dxa"/>
            <w:gridSpan w:val="2"/>
            <w:tcBorders>
              <w:top w:val="single" w:color="000000" w:sz="4" w:space="0"/>
              <w:left w:val="single" w:color="000000" w:sz="4" w:space="0"/>
              <w:bottom w:val="single" w:color="000000" w:sz="4" w:space="0"/>
              <w:right w:val="single" w:color="000000" w:sz="4" w:space="0"/>
            </w:tcBorders>
            <w:vAlign w:val="top"/>
          </w:tcPr>
          <w:p w14:paraId="25EA054D">
            <w:pPr>
              <w:spacing w:before="81" w:line="239" w:lineRule="auto"/>
              <w:ind w:firstLine="525"/>
              <w:jc w:val="right"/>
              <w:rPr>
                <w:rFonts w:hint="eastAsia" w:ascii="仿宋" w:hAnsi="仿宋" w:eastAsia="仿宋" w:cs="仿宋"/>
                <w:sz w:val="32"/>
                <w:szCs w:val="32"/>
              </w:rPr>
            </w:pPr>
            <w:r>
              <w:rPr>
                <w:rFonts w:hint="eastAsia" w:ascii="仿宋" w:hAnsi="仿宋" w:eastAsia="仿宋" w:cs="仿宋"/>
                <w:color w:val="000000"/>
                <w:sz w:val="32"/>
                <w:szCs w:val="32"/>
              </w:rPr>
              <w:t>0.00</w:t>
            </w:r>
          </w:p>
        </w:tc>
        <w:tc>
          <w:tcPr>
            <w:tcW w:w="1340" w:type="dxa"/>
            <w:gridSpan w:val="2"/>
            <w:tcBorders>
              <w:top w:val="single" w:color="000000" w:sz="4" w:space="0"/>
              <w:left w:val="single" w:color="000000" w:sz="4" w:space="0"/>
              <w:bottom w:val="single" w:color="000000" w:sz="4" w:space="0"/>
              <w:right w:val="single" w:color="000000" w:sz="4" w:space="0"/>
            </w:tcBorders>
            <w:vAlign w:val="center"/>
          </w:tcPr>
          <w:p w14:paraId="323FA179">
            <w:pPr>
              <w:keepNext w:val="0"/>
              <w:keepLines w:val="0"/>
              <w:widowControl/>
              <w:suppressLineNumbers w:val="0"/>
              <w:jc w:val="right"/>
              <w:textAlignment w:val="center"/>
              <w:rPr>
                <w:rFonts w:hint="eastAsia" w:ascii="仿宋" w:hAnsi="仿宋" w:eastAsia="仿宋" w:cs="仿宋"/>
                <w:sz w:val="32"/>
                <w:szCs w:val="32"/>
              </w:rPr>
            </w:pPr>
            <w:r>
              <w:rPr>
                <w:rFonts w:hint="eastAsia" w:ascii="仿宋" w:hAnsi="仿宋" w:eastAsia="仿宋" w:cs="仿宋"/>
                <w:i w:val="0"/>
                <w:iCs w:val="0"/>
                <w:color w:val="000000"/>
                <w:kern w:val="0"/>
                <w:sz w:val="32"/>
                <w:szCs w:val="32"/>
                <w:u w:val="none"/>
                <w:lang w:val="en-US" w:eastAsia="zh-CN" w:bidi="ar"/>
              </w:rPr>
              <w:t xml:space="preserve">98 </w:t>
            </w:r>
          </w:p>
        </w:tc>
        <w:tc>
          <w:tcPr>
            <w:tcW w:w="1340" w:type="dxa"/>
            <w:gridSpan w:val="2"/>
            <w:tcBorders>
              <w:top w:val="single" w:color="000000" w:sz="4" w:space="0"/>
              <w:left w:val="single" w:color="000000" w:sz="4" w:space="0"/>
              <w:bottom w:val="single" w:color="000000" w:sz="4" w:space="0"/>
              <w:right w:val="single" w:color="000000" w:sz="4" w:space="0"/>
            </w:tcBorders>
            <w:vAlign w:val="center"/>
          </w:tcPr>
          <w:p w14:paraId="657777F3">
            <w:pPr>
              <w:keepNext w:val="0"/>
              <w:keepLines w:val="0"/>
              <w:widowControl/>
              <w:suppressLineNumbers w:val="0"/>
              <w:jc w:val="right"/>
              <w:textAlignment w:val="center"/>
              <w:rPr>
                <w:rFonts w:hint="eastAsia" w:ascii="仿宋" w:hAnsi="仿宋" w:eastAsia="仿宋" w:cs="仿宋"/>
                <w:sz w:val="32"/>
                <w:szCs w:val="32"/>
              </w:rPr>
            </w:pPr>
            <w:r>
              <w:rPr>
                <w:rFonts w:hint="eastAsia" w:ascii="仿宋" w:hAnsi="仿宋" w:eastAsia="仿宋" w:cs="仿宋"/>
                <w:i w:val="0"/>
                <w:iCs w:val="0"/>
                <w:color w:val="000000"/>
                <w:kern w:val="0"/>
                <w:sz w:val="32"/>
                <w:szCs w:val="32"/>
                <w:u w:val="none"/>
                <w:lang w:val="en-US" w:eastAsia="zh-CN" w:bidi="ar"/>
              </w:rPr>
              <w:t xml:space="preserve">62.60 </w:t>
            </w:r>
          </w:p>
        </w:tc>
        <w:tc>
          <w:tcPr>
            <w:tcW w:w="1460" w:type="dxa"/>
            <w:gridSpan w:val="2"/>
            <w:tcBorders>
              <w:top w:val="single" w:color="000000" w:sz="4" w:space="0"/>
              <w:left w:val="single" w:color="000000" w:sz="4" w:space="0"/>
              <w:bottom w:val="single" w:color="000000" w:sz="4" w:space="0"/>
              <w:right w:val="single" w:color="000000" w:sz="4" w:space="0"/>
            </w:tcBorders>
            <w:vAlign w:val="top"/>
          </w:tcPr>
          <w:p w14:paraId="334E71A1">
            <w:pPr>
              <w:spacing w:before="81" w:line="239" w:lineRule="auto"/>
              <w:ind w:firstLine="552"/>
              <w:jc w:val="right"/>
              <w:rPr>
                <w:rFonts w:hint="eastAsia" w:ascii="仿宋" w:hAnsi="仿宋" w:eastAsia="仿宋" w:cs="仿宋"/>
                <w:sz w:val="32"/>
                <w:szCs w:val="32"/>
              </w:rPr>
            </w:pPr>
            <w:r>
              <w:rPr>
                <w:rFonts w:hint="eastAsia" w:ascii="仿宋" w:hAnsi="仿宋" w:eastAsia="仿宋" w:cs="仿宋"/>
                <w:color w:val="000000"/>
                <w:sz w:val="32"/>
                <w:szCs w:val="32"/>
              </w:rPr>
              <w:t>100.00%</w:t>
            </w:r>
          </w:p>
        </w:tc>
      </w:tr>
      <w:tr w14:paraId="26BF7200">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640" w:hRule="atLeast"/>
        </w:trPr>
        <w:tc>
          <w:tcPr>
            <w:tcW w:w="2740" w:type="dxa"/>
            <w:tcBorders>
              <w:top w:val="single" w:color="000000" w:sz="4" w:space="0"/>
              <w:left w:val="single" w:color="000000" w:sz="4" w:space="0"/>
              <w:bottom w:val="single" w:color="000000" w:sz="4" w:space="0"/>
              <w:right w:val="single" w:color="000000" w:sz="4" w:space="0"/>
            </w:tcBorders>
            <w:vAlign w:val="center"/>
          </w:tcPr>
          <w:p w14:paraId="7E21C145">
            <w:pPr>
              <w:keepNext w:val="0"/>
              <w:keepLines w:val="0"/>
              <w:widowControl/>
              <w:suppressLineNumbers w:val="0"/>
              <w:jc w:val="left"/>
              <w:textAlignment w:val="center"/>
              <w:rPr>
                <w:rFonts w:hint="eastAsia" w:ascii="仿宋" w:hAnsi="仿宋" w:eastAsia="仿宋" w:cs="仿宋"/>
                <w:sz w:val="32"/>
                <w:szCs w:val="32"/>
              </w:rPr>
            </w:pPr>
            <w:r>
              <w:rPr>
                <w:rFonts w:hint="eastAsia" w:ascii="仿宋" w:hAnsi="仿宋" w:eastAsia="仿宋" w:cs="仿宋"/>
                <w:i w:val="0"/>
                <w:iCs w:val="0"/>
                <w:color w:val="000000"/>
                <w:kern w:val="0"/>
                <w:sz w:val="32"/>
                <w:szCs w:val="32"/>
                <w:u w:val="none"/>
                <w:lang w:val="en-US" w:eastAsia="zh-CN" w:bidi="ar"/>
              </w:rPr>
              <w:t>十五运外训外赛经费</w:t>
            </w:r>
          </w:p>
        </w:tc>
        <w:tc>
          <w:tcPr>
            <w:tcW w:w="1280" w:type="dxa"/>
            <w:gridSpan w:val="2"/>
            <w:tcBorders>
              <w:top w:val="single" w:color="000000" w:sz="4" w:space="0"/>
              <w:left w:val="single" w:color="000000" w:sz="4" w:space="0"/>
              <w:bottom w:val="single" w:color="000000" w:sz="4" w:space="0"/>
              <w:right w:val="single" w:color="000000" w:sz="4" w:space="0"/>
            </w:tcBorders>
            <w:vAlign w:val="center"/>
          </w:tcPr>
          <w:p w14:paraId="0F3E9A25">
            <w:pPr>
              <w:keepNext w:val="0"/>
              <w:keepLines w:val="0"/>
              <w:widowControl/>
              <w:suppressLineNumbers w:val="0"/>
              <w:jc w:val="right"/>
              <w:textAlignment w:val="center"/>
              <w:rPr>
                <w:rFonts w:hint="eastAsia" w:ascii="仿宋" w:hAnsi="仿宋" w:eastAsia="仿宋" w:cs="仿宋"/>
                <w:sz w:val="32"/>
                <w:szCs w:val="32"/>
              </w:rPr>
            </w:pPr>
            <w:r>
              <w:rPr>
                <w:rFonts w:hint="eastAsia" w:ascii="仿宋" w:hAnsi="仿宋" w:eastAsia="仿宋" w:cs="仿宋"/>
                <w:i w:val="0"/>
                <w:iCs w:val="0"/>
                <w:color w:val="000000"/>
                <w:kern w:val="0"/>
                <w:sz w:val="32"/>
                <w:szCs w:val="32"/>
                <w:u w:val="none"/>
                <w:lang w:val="en-US" w:eastAsia="zh-CN" w:bidi="ar"/>
              </w:rPr>
              <w:t xml:space="preserve">368 </w:t>
            </w:r>
          </w:p>
        </w:tc>
        <w:tc>
          <w:tcPr>
            <w:tcW w:w="1100" w:type="dxa"/>
            <w:gridSpan w:val="2"/>
            <w:tcBorders>
              <w:top w:val="single" w:color="000000" w:sz="4" w:space="0"/>
              <w:left w:val="single" w:color="000000" w:sz="4" w:space="0"/>
              <w:bottom w:val="single" w:color="000000" w:sz="4" w:space="0"/>
              <w:right w:val="single" w:color="000000" w:sz="4" w:space="0"/>
            </w:tcBorders>
            <w:vAlign w:val="top"/>
          </w:tcPr>
          <w:p w14:paraId="42EC40B0">
            <w:pPr>
              <w:spacing w:before="169" w:line="239" w:lineRule="auto"/>
              <w:ind w:firstLine="525"/>
              <w:jc w:val="right"/>
              <w:rPr>
                <w:rFonts w:hint="eastAsia" w:ascii="仿宋" w:hAnsi="仿宋" w:eastAsia="仿宋" w:cs="仿宋"/>
                <w:sz w:val="32"/>
                <w:szCs w:val="32"/>
              </w:rPr>
            </w:pPr>
            <w:r>
              <w:rPr>
                <w:rFonts w:hint="eastAsia" w:ascii="仿宋" w:hAnsi="仿宋" w:eastAsia="仿宋" w:cs="仿宋"/>
                <w:color w:val="000000"/>
                <w:sz w:val="32"/>
                <w:szCs w:val="32"/>
              </w:rPr>
              <w:t>0.00</w:t>
            </w:r>
          </w:p>
        </w:tc>
        <w:tc>
          <w:tcPr>
            <w:tcW w:w="1340" w:type="dxa"/>
            <w:gridSpan w:val="2"/>
            <w:tcBorders>
              <w:top w:val="single" w:color="000000" w:sz="4" w:space="0"/>
              <w:left w:val="single" w:color="000000" w:sz="4" w:space="0"/>
              <w:bottom w:val="single" w:color="000000" w:sz="4" w:space="0"/>
              <w:right w:val="single" w:color="000000" w:sz="4" w:space="0"/>
            </w:tcBorders>
            <w:vAlign w:val="center"/>
          </w:tcPr>
          <w:p w14:paraId="0F57AC34">
            <w:pPr>
              <w:keepNext w:val="0"/>
              <w:keepLines w:val="0"/>
              <w:widowControl/>
              <w:suppressLineNumbers w:val="0"/>
              <w:jc w:val="right"/>
              <w:textAlignment w:val="center"/>
              <w:rPr>
                <w:rFonts w:hint="eastAsia" w:ascii="仿宋" w:hAnsi="仿宋" w:eastAsia="仿宋" w:cs="仿宋"/>
                <w:sz w:val="32"/>
                <w:szCs w:val="32"/>
              </w:rPr>
            </w:pPr>
            <w:r>
              <w:rPr>
                <w:rFonts w:hint="eastAsia" w:ascii="仿宋" w:hAnsi="仿宋" w:eastAsia="仿宋" w:cs="仿宋"/>
                <w:i w:val="0"/>
                <w:iCs w:val="0"/>
                <w:color w:val="000000"/>
                <w:kern w:val="0"/>
                <w:sz w:val="32"/>
                <w:szCs w:val="32"/>
                <w:u w:val="none"/>
                <w:lang w:val="en-US" w:eastAsia="zh-CN" w:bidi="ar"/>
              </w:rPr>
              <w:t xml:space="preserve">368 </w:t>
            </w:r>
          </w:p>
        </w:tc>
        <w:tc>
          <w:tcPr>
            <w:tcW w:w="1340" w:type="dxa"/>
            <w:gridSpan w:val="2"/>
            <w:tcBorders>
              <w:top w:val="single" w:color="000000" w:sz="4" w:space="0"/>
              <w:left w:val="single" w:color="000000" w:sz="4" w:space="0"/>
              <w:bottom w:val="single" w:color="000000" w:sz="4" w:space="0"/>
              <w:right w:val="single" w:color="000000" w:sz="4" w:space="0"/>
            </w:tcBorders>
            <w:vAlign w:val="center"/>
          </w:tcPr>
          <w:p w14:paraId="551FE5FA">
            <w:pPr>
              <w:keepNext w:val="0"/>
              <w:keepLines w:val="0"/>
              <w:widowControl/>
              <w:suppressLineNumbers w:val="0"/>
              <w:jc w:val="right"/>
              <w:textAlignment w:val="center"/>
              <w:rPr>
                <w:rFonts w:hint="eastAsia" w:ascii="仿宋" w:hAnsi="仿宋" w:eastAsia="仿宋" w:cs="仿宋"/>
                <w:sz w:val="32"/>
                <w:szCs w:val="32"/>
              </w:rPr>
            </w:pPr>
            <w:r>
              <w:rPr>
                <w:rFonts w:hint="eastAsia" w:ascii="仿宋" w:hAnsi="仿宋" w:eastAsia="仿宋" w:cs="仿宋"/>
                <w:i w:val="0"/>
                <w:iCs w:val="0"/>
                <w:color w:val="000000"/>
                <w:kern w:val="0"/>
                <w:sz w:val="32"/>
                <w:szCs w:val="32"/>
                <w:u w:val="none"/>
                <w:lang w:val="en-US" w:eastAsia="zh-CN" w:bidi="ar"/>
              </w:rPr>
              <w:t xml:space="preserve">313.73 </w:t>
            </w:r>
          </w:p>
        </w:tc>
        <w:tc>
          <w:tcPr>
            <w:tcW w:w="1460" w:type="dxa"/>
            <w:gridSpan w:val="2"/>
            <w:tcBorders>
              <w:top w:val="single" w:color="000000" w:sz="4" w:space="0"/>
              <w:left w:val="single" w:color="000000" w:sz="4" w:space="0"/>
              <w:bottom w:val="single" w:color="000000" w:sz="4" w:space="0"/>
              <w:right w:val="single" w:color="000000" w:sz="4" w:space="0"/>
            </w:tcBorders>
            <w:vAlign w:val="top"/>
          </w:tcPr>
          <w:p w14:paraId="34E64B7F">
            <w:pPr>
              <w:spacing w:before="169" w:line="239" w:lineRule="auto"/>
              <w:ind w:firstLine="552"/>
              <w:jc w:val="right"/>
              <w:rPr>
                <w:rFonts w:hint="eastAsia" w:ascii="仿宋" w:hAnsi="仿宋" w:eastAsia="仿宋" w:cs="仿宋"/>
                <w:sz w:val="32"/>
                <w:szCs w:val="32"/>
              </w:rPr>
            </w:pPr>
            <w:r>
              <w:rPr>
                <w:rFonts w:hint="eastAsia" w:ascii="仿宋" w:hAnsi="仿宋" w:eastAsia="仿宋" w:cs="仿宋"/>
                <w:color w:val="000000"/>
                <w:sz w:val="32"/>
                <w:szCs w:val="32"/>
              </w:rPr>
              <w:t>100.00%</w:t>
            </w:r>
          </w:p>
        </w:tc>
      </w:tr>
      <w:tr w14:paraId="38E01D64">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640" w:hRule="atLeast"/>
        </w:trPr>
        <w:tc>
          <w:tcPr>
            <w:tcW w:w="2740" w:type="dxa"/>
            <w:tcBorders>
              <w:top w:val="single" w:color="000000" w:sz="4" w:space="0"/>
              <w:left w:val="single" w:color="000000" w:sz="4" w:space="0"/>
              <w:bottom w:val="single" w:color="000000" w:sz="4" w:space="0"/>
              <w:right w:val="single" w:color="000000" w:sz="4" w:space="0"/>
            </w:tcBorders>
            <w:vAlign w:val="center"/>
          </w:tcPr>
          <w:p w14:paraId="24EA3D9A">
            <w:pPr>
              <w:keepNext w:val="0"/>
              <w:keepLines w:val="0"/>
              <w:widowControl/>
              <w:suppressLineNumbers w:val="0"/>
              <w:jc w:val="left"/>
              <w:textAlignment w:val="center"/>
              <w:rPr>
                <w:rFonts w:hint="eastAsia" w:ascii="仿宋" w:hAnsi="仿宋" w:eastAsia="仿宋" w:cs="仿宋"/>
                <w:sz w:val="32"/>
                <w:szCs w:val="32"/>
              </w:rPr>
            </w:pPr>
            <w:r>
              <w:rPr>
                <w:rFonts w:hint="eastAsia" w:ascii="仿宋" w:hAnsi="仿宋" w:eastAsia="仿宋" w:cs="仿宋"/>
                <w:i w:val="0"/>
                <w:iCs w:val="0"/>
                <w:color w:val="000000"/>
                <w:kern w:val="0"/>
                <w:sz w:val="32"/>
                <w:szCs w:val="32"/>
                <w:u w:val="none"/>
                <w:lang w:val="en-US" w:eastAsia="zh-CN" w:bidi="ar"/>
              </w:rPr>
              <w:t>十五运购置训练比赛服装器材及配件经费</w:t>
            </w:r>
          </w:p>
        </w:tc>
        <w:tc>
          <w:tcPr>
            <w:tcW w:w="1280" w:type="dxa"/>
            <w:gridSpan w:val="2"/>
            <w:tcBorders>
              <w:top w:val="single" w:color="000000" w:sz="4" w:space="0"/>
              <w:left w:val="single" w:color="000000" w:sz="4" w:space="0"/>
              <w:bottom w:val="single" w:color="000000" w:sz="4" w:space="0"/>
              <w:right w:val="single" w:color="000000" w:sz="4" w:space="0"/>
            </w:tcBorders>
            <w:vAlign w:val="center"/>
          </w:tcPr>
          <w:p w14:paraId="18E66219">
            <w:pPr>
              <w:keepNext w:val="0"/>
              <w:keepLines w:val="0"/>
              <w:widowControl/>
              <w:suppressLineNumbers w:val="0"/>
              <w:jc w:val="right"/>
              <w:textAlignment w:val="center"/>
              <w:rPr>
                <w:rFonts w:hint="eastAsia" w:ascii="仿宋" w:hAnsi="仿宋" w:eastAsia="仿宋" w:cs="仿宋"/>
                <w:sz w:val="32"/>
                <w:szCs w:val="32"/>
              </w:rPr>
            </w:pPr>
            <w:r>
              <w:rPr>
                <w:rFonts w:hint="eastAsia" w:ascii="仿宋" w:hAnsi="仿宋" w:eastAsia="仿宋" w:cs="仿宋"/>
                <w:i w:val="0"/>
                <w:iCs w:val="0"/>
                <w:color w:val="000000"/>
                <w:kern w:val="0"/>
                <w:sz w:val="32"/>
                <w:szCs w:val="32"/>
                <w:u w:val="none"/>
                <w:lang w:val="en-US" w:eastAsia="zh-CN" w:bidi="ar"/>
              </w:rPr>
              <w:t xml:space="preserve">90 </w:t>
            </w:r>
          </w:p>
        </w:tc>
        <w:tc>
          <w:tcPr>
            <w:tcW w:w="1100" w:type="dxa"/>
            <w:gridSpan w:val="2"/>
            <w:tcBorders>
              <w:top w:val="single" w:color="000000" w:sz="4" w:space="0"/>
              <w:left w:val="single" w:color="000000" w:sz="4" w:space="0"/>
              <w:bottom w:val="single" w:color="000000" w:sz="4" w:space="0"/>
              <w:right w:val="single" w:color="000000" w:sz="4" w:space="0"/>
            </w:tcBorders>
            <w:vAlign w:val="top"/>
          </w:tcPr>
          <w:p w14:paraId="691C6A2C">
            <w:pPr>
              <w:spacing w:before="158" w:line="254" w:lineRule="auto"/>
              <w:ind w:firstLine="525"/>
              <w:jc w:val="right"/>
              <w:rPr>
                <w:rFonts w:hint="eastAsia" w:ascii="仿宋" w:hAnsi="仿宋" w:eastAsia="仿宋" w:cs="仿宋"/>
                <w:sz w:val="32"/>
                <w:szCs w:val="32"/>
              </w:rPr>
            </w:pPr>
            <w:r>
              <w:rPr>
                <w:rFonts w:hint="eastAsia" w:ascii="仿宋" w:hAnsi="仿宋" w:eastAsia="仿宋" w:cs="仿宋"/>
                <w:color w:val="000000"/>
                <w:sz w:val="32"/>
                <w:szCs w:val="32"/>
              </w:rPr>
              <w:t>0.00</w:t>
            </w:r>
          </w:p>
        </w:tc>
        <w:tc>
          <w:tcPr>
            <w:tcW w:w="1340" w:type="dxa"/>
            <w:gridSpan w:val="2"/>
            <w:tcBorders>
              <w:top w:val="single" w:color="000000" w:sz="4" w:space="0"/>
              <w:left w:val="single" w:color="000000" w:sz="4" w:space="0"/>
              <w:bottom w:val="single" w:color="000000" w:sz="4" w:space="0"/>
              <w:right w:val="single" w:color="000000" w:sz="4" w:space="0"/>
            </w:tcBorders>
            <w:vAlign w:val="center"/>
          </w:tcPr>
          <w:p w14:paraId="0A32F778">
            <w:pPr>
              <w:keepNext w:val="0"/>
              <w:keepLines w:val="0"/>
              <w:widowControl/>
              <w:suppressLineNumbers w:val="0"/>
              <w:jc w:val="right"/>
              <w:textAlignment w:val="center"/>
              <w:rPr>
                <w:rFonts w:hint="eastAsia" w:ascii="仿宋" w:hAnsi="仿宋" w:eastAsia="仿宋" w:cs="仿宋"/>
                <w:sz w:val="32"/>
                <w:szCs w:val="32"/>
              </w:rPr>
            </w:pPr>
            <w:r>
              <w:rPr>
                <w:rFonts w:hint="eastAsia" w:ascii="仿宋" w:hAnsi="仿宋" w:eastAsia="仿宋" w:cs="仿宋"/>
                <w:i w:val="0"/>
                <w:iCs w:val="0"/>
                <w:color w:val="000000"/>
                <w:kern w:val="0"/>
                <w:sz w:val="32"/>
                <w:szCs w:val="32"/>
                <w:u w:val="none"/>
                <w:lang w:val="en-US" w:eastAsia="zh-CN" w:bidi="ar"/>
              </w:rPr>
              <w:t xml:space="preserve">90 </w:t>
            </w:r>
          </w:p>
        </w:tc>
        <w:tc>
          <w:tcPr>
            <w:tcW w:w="1340" w:type="dxa"/>
            <w:gridSpan w:val="2"/>
            <w:tcBorders>
              <w:top w:val="single" w:color="000000" w:sz="4" w:space="0"/>
              <w:left w:val="single" w:color="000000" w:sz="4" w:space="0"/>
              <w:bottom w:val="single" w:color="000000" w:sz="4" w:space="0"/>
              <w:right w:val="single" w:color="000000" w:sz="4" w:space="0"/>
            </w:tcBorders>
            <w:vAlign w:val="center"/>
          </w:tcPr>
          <w:p w14:paraId="0E088BD8">
            <w:pPr>
              <w:keepNext w:val="0"/>
              <w:keepLines w:val="0"/>
              <w:widowControl/>
              <w:suppressLineNumbers w:val="0"/>
              <w:jc w:val="right"/>
              <w:textAlignment w:val="center"/>
              <w:rPr>
                <w:rFonts w:hint="eastAsia" w:ascii="仿宋" w:hAnsi="仿宋" w:eastAsia="仿宋" w:cs="仿宋"/>
                <w:sz w:val="32"/>
                <w:szCs w:val="32"/>
              </w:rPr>
            </w:pPr>
            <w:r>
              <w:rPr>
                <w:rFonts w:hint="eastAsia" w:ascii="仿宋" w:hAnsi="仿宋" w:eastAsia="仿宋" w:cs="仿宋"/>
                <w:i w:val="0"/>
                <w:iCs w:val="0"/>
                <w:color w:val="000000"/>
                <w:kern w:val="0"/>
                <w:sz w:val="32"/>
                <w:szCs w:val="32"/>
                <w:u w:val="none"/>
                <w:lang w:val="en-US" w:eastAsia="zh-CN" w:bidi="ar"/>
              </w:rPr>
              <w:t xml:space="preserve">89.55 </w:t>
            </w:r>
          </w:p>
        </w:tc>
        <w:tc>
          <w:tcPr>
            <w:tcW w:w="1460" w:type="dxa"/>
            <w:gridSpan w:val="2"/>
            <w:tcBorders>
              <w:top w:val="single" w:color="000000" w:sz="4" w:space="0"/>
              <w:left w:val="single" w:color="000000" w:sz="4" w:space="0"/>
              <w:bottom w:val="single" w:color="000000" w:sz="4" w:space="0"/>
              <w:right w:val="single" w:color="000000" w:sz="4" w:space="0"/>
            </w:tcBorders>
            <w:vAlign w:val="top"/>
          </w:tcPr>
          <w:p w14:paraId="6FDBEA7E">
            <w:pPr>
              <w:spacing w:before="158" w:line="254" w:lineRule="auto"/>
              <w:ind w:firstLine="652"/>
              <w:jc w:val="right"/>
              <w:rPr>
                <w:rFonts w:hint="eastAsia" w:ascii="仿宋" w:hAnsi="仿宋" w:eastAsia="仿宋" w:cs="仿宋"/>
                <w:sz w:val="32"/>
                <w:szCs w:val="32"/>
              </w:rPr>
            </w:pPr>
            <w:r>
              <w:rPr>
                <w:rFonts w:hint="eastAsia" w:ascii="仿宋" w:hAnsi="仿宋" w:eastAsia="仿宋" w:cs="仿宋"/>
                <w:color w:val="000000"/>
                <w:sz w:val="32"/>
                <w:szCs w:val="32"/>
                <w:lang w:val="en-US" w:eastAsia="zh-CN"/>
              </w:rPr>
              <w:t>99.5</w:t>
            </w:r>
            <w:r>
              <w:rPr>
                <w:rFonts w:hint="eastAsia" w:ascii="仿宋" w:hAnsi="仿宋" w:eastAsia="仿宋" w:cs="仿宋"/>
                <w:color w:val="000000"/>
                <w:sz w:val="32"/>
                <w:szCs w:val="32"/>
              </w:rPr>
              <w:t>%</w:t>
            </w:r>
          </w:p>
        </w:tc>
      </w:tr>
      <w:tr w14:paraId="71072AEC">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80" w:hRule="atLeast"/>
        </w:trPr>
        <w:tc>
          <w:tcPr>
            <w:tcW w:w="2740" w:type="dxa"/>
            <w:tcBorders>
              <w:top w:val="single" w:color="000000" w:sz="4" w:space="0"/>
              <w:left w:val="single" w:color="000000" w:sz="4" w:space="0"/>
              <w:bottom w:val="single" w:color="000000" w:sz="4" w:space="0"/>
              <w:right w:val="single" w:color="000000" w:sz="4" w:space="0"/>
            </w:tcBorders>
            <w:vAlign w:val="center"/>
          </w:tcPr>
          <w:p w14:paraId="74F616F4">
            <w:pPr>
              <w:keepNext w:val="0"/>
              <w:keepLines w:val="0"/>
              <w:widowControl/>
              <w:suppressLineNumbers w:val="0"/>
              <w:jc w:val="left"/>
              <w:textAlignment w:val="center"/>
              <w:rPr>
                <w:rFonts w:hint="eastAsia" w:ascii="仿宋" w:hAnsi="仿宋" w:eastAsia="仿宋" w:cs="仿宋"/>
                <w:sz w:val="32"/>
                <w:szCs w:val="32"/>
              </w:rPr>
            </w:pPr>
            <w:r>
              <w:rPr>
                <w:rFonts w:hint="eastAsia" w:ascii="仿宋" w:hAnsi="仿宋" w:eastAsia="仿宋" w:cs="仿宋"/>
                <w:i w:val="0"/>
                <w:iCs w:val="0"/>
                <w:color w:val="000000"/>
                <w:kern w:val="0"/>
                <w:sz w:val="32"/>
                <w:szCs w:val="32"/>
                <w:u w:val="none"/>
                <w:lang w:val="en-US" w:eastAsia="zh-CN" w:bidi="ar"/>
              </w:rPr>
              <w:t>2023海上中心零星维修维护</w:t>
            </w:r>
          </w:p>
        </w:tc>
        <w:tc>
          <w:tcPr>
            <w:tcW w:w="1280" w:type="dxa"/>
            <w:gridSpan w:val="2"/>
            <w:tcBorders>
              <w:top w:val="single" w:color="000000" w:sz="4" w:space="0"/>
              <w:left w:val="single" w:color="000000" w:sz="4" w:space="0"/>
              <w:bottom w:val="single" w:color="000000" w:sz="4" w:space="0"/>
              <w:right w:val="single" w:color="000000" w:sz="4" w:space="0"/>
            </w:tcBorders>
            <w:vAlign w:val="center"/>
          </w:tcPr>
          <w:p w14:paraId="4CAAEC15">
            <w:pPr>
              <w:keepNext w:val="0"/>
              <w:keepLines w:val="0"/>
              <w:widowControl/>
              <w:suppressLineNumbers w:val="0"/>
              <w:jc w:val="right"/>
              <w:textAlignment w:val="center"/>
              <w:rPr>
                <w:rFonts w:hint="eastAsia" w:ascii="仿宋" w:hAnsi="仿宋" w:eastAsia="仿宋" w:cs="仿宋"/>
                <w:sz w:val="32"/>
                <w:szCs w:val="32"/>
              </w:rPr>
            </w:pPr>
            <w:r>
              <w:rPr>
                <w:rFonts w:hint="eastAsia" w:ascii="仿宋" w:hAnsi="仿宋" w:eastAsia="仿宋" w:cs="仿宋"/>
                <w:i w:val="0"/>
                <w:iCs w:val="0"/>
                <w:color w:val="000000"/>
                <w:kern w:val="0"/>
                <w:sz w:val="32"/>
                <w:szCs w:val="32"/>
                <w:u w:val="none"/>
                <w:lang w:val="en-US" w:eastAsia="zh-CN" w:bidi="ar"/>
              </w:rPr>
              <w:t xml:space="preserve">155 </w:t>
            </w:r>
          </w:p>
        </w:tc>
        <w:tc>
          <w:tcPr>
            <w:tcW w:w="1100" w:type="dxa"/>
            <w:gridSpan w:val="2"/>
            <w:tcBorders>
              <w:top w:val="single" w:color="000000" w:sz="4" w:space="0"/>
              <w:left w:val="single" w:color="000000" w:sz="4" w:space="0"/>
              <w:bottom w:val="single" w:color="000000" w:sz="4" w:space="0"/>
              <w:right w:val="single" w:color="000000" w:sz="4" w:space="0"/>
            </w:tcBorders>
            <w:vAlign w:val="top"/>
          </w:tcPr>
          <w:p w14:paraId="787088CC">
            <w:pPr>
              <w:spacing w:before="78" w:line="239" w:lineRule="auto"/>
              <w:ind w:firstLine="525"/>
              <w:jc w:val="right"/>
              <w:rPr>
                <w:rFonts w:hint="eastAsia" w:ascii="仿宋" w:hAnsi="仿宋" w:eastAsia="仿宋" w:cs="仿宋"/>
                <w:sz w:val="32"/>
                <w:szCs w:val="32"/>
              </w:rPr>
            </w:pPr>
            <w:r>
              <w:rPr>
                <w:rFonts w:hint="eastAsia" w:ascii="仿宋" w:hAnsi="仿宋" w:eastAsia="仿宋" w:cs="仿宋"/>
                <w:color w:val="000000"/>
                <w:sz w:val="32"/>
                <w:szCs w:val="32"/>
              </w:rPr>
              <w:t>0.00</w:t>
            </w:r>
          </w:p>
        </w:tc>
        <w:tc>
          <w:tcPr>
            <w:tcW w:w="1340" w:type="dxa"/>
            <w:gridSpan w:val="2"/>
            <w:tcBorders>
              <w:top w:val="single" w:color="000000" w:sz="4" w:space="0"/>
              <w:left w:val="single" w:color="000000" w:sz="4" w:space="0"/>
              <w:bottom w:val="single" w:color="000000" w:sz="4" w:space="0"/>
              <w:right w:val="single" w:color="000000" w:sz="4" w:space="0"/>
            </w:tcBorders>
            <w:vAlign w:val="center"/>
          </w:tcPr>
          <w:p w14:paraId="128825E6">
            <w:pPr>
              <w:keepNext w:val="0"/>
              <w:keepLines w:val="0"/>
              <w:widowControl/>
              <w:suppressLineNumbers w:val="0"/>
              <w:jc w:val="right"/>
              <w:textAlignment w:val="center"/>
              <w:rPr>
                <w:rFonts w:hint="eastAsia" w:ascii="仿宋" w:hAnsi="仿宋" w:eastAsia="仿宋" w:cs="仿宋"/>
                <w:sz w:val="32"/>
                <w:szCs w:val="32"/>
              </w:rPr>
            </w:pPr>
            <w:r>
              <w:rPr>
                <w:rFonts w:hint="eastAsia" w:ascii="仿宋" w:hAnsi="仿宋" w:eastAsia="仿宋" w:cs="仿宋"/>
                <w:i w:val="0"/>
                <w:iCs w:val="0"/>
                <w:color w:val="000000"/>
                <w:kern w:val="0"/>
                <w:sz w:val="32"/>
                <w:szCs w:val="32"/>
                <w:u w:val="none"/>
                <w:lang w:val="en-US" w:eastAsia="zh-CN" w:bidi="ar"/>
              </w:rPr>
              <w:t xml:space="preserve">155 </w:t>
            </w:r>
          </w:p>
        </w:tc>
        <w:tc>
          <w:tcPr>
            <w:tcW w:w="1340" w:type="dxa"/>
            <w:gridSpan w:val="2"/>
            <w:tcBorders>
              <w:top w:val="single" w:color="000000" w:sz="4" w:space="0"/>
              <w:left w:val="single" w:color="000000" w:sz="4" w:space="0"/>
              <w:bottom w:val="single" w:color="000000" w:sz="4" w:space="0"/>
              <w:right w:val="single" w:color="000000" w:sz="4" w:space="0"/>
            </w:tcBorders>
            <w:vAlign w:val="center"/>
          </w:tcPr>
          <w:p w14:paraId="42D1128E">
            <w:pPr>
              <w:keepNext w:val="0"/>
              <w:keepLines w:val="0"/>
              <w:widowControl/>
              <w:suppressLineNumbers w:val="0"/>
              <w:jc w:val="right"/>
              <w:textAlignment w:val="center"/>
              <w:rPr>
                <w:rFonts w:hint="eastAsia" w:ascii="仿宋" w:hAnsi="仿宋" w:eastAsia="仿宋" w:cs="仿宋"/>
                <w:sz w:val="32"/>
                <w:szCs w:val="32"/>
              </w:rPr>
            </w:pPr>
            <w:r>
              <w:rPr>
                <w:rFonts w:hint="eastAsia" w:ascii="仿宋" w:hAnsi="仿宋" w:eastAsia="仿宋" w:cs="仿宋"/>
                <w:i w:val="0"/>
                <w:iCs w:val="0"/>
                <w:color w:val="000000"/>
                <w:kern w:val="0"/>
                <w:sz w:val="32"/>
                <w:szCs w:val="32"/>
                <w:u w:val="none"/>
                <w:lang w:val="en-US" w:eastAsia="zh-CN" w:bidi="ar"/>
              </w:rPr>
              <w:t xml:space="preserve">155 </w:t>
            </w:r>
          </w:p>
        </w:tc>
        <w:tc>
          <w:tcPr>
            <w:tcW w:w="1460" w:type="dxa"/>
            <w:gridSpan w:val="2"/>
            <w:tcBorders>
              <w:top w:val="single" w:color="000000" w:sz="4" w:space="0"/>
              <w:left w:val="single" w:color="000000" w:sz="4" w:space="0"/>
              <w:bottom w:val="single" w:color="000000" w:sz="4" w:space="0"/>
              <w:right w:val="single" w:color="000000" w:sz="4" w:space="0"/>
            </w:tcBorders>
            <w:vAlign w:val="top"/>
          </w:tcPr>
          <w:p w14:paraId="70E1918D">
            <w:pPr>
              <w:spacing w:before="78" w:line="239" w:lineRule="auto"/>
              <w:ind w:firstLine="552"/>
              <w:jc w:val="right"/>
              <w:rPr>
                <w:rFonts w:hint="eastAsia" w:ascii="仿宋" w:hAnsi="仿宋" w:eastAsia="仿宋" w:cs="仿宋"/>
                <w:sz w:val="32"/>
                <w:szCs w:val="32"/>
              </w:rPr>
            </w:pPr>
            <w:r>
              <w:rPr>
                <w:rFonts w:hint="eastAsia" w:ascii="仿宋" w:hAnsi="仿宋" w:eastAsia="仿宋" w:cs="仿宋"/>
                <w:color w:val="000000"/>
                <w:sz w:val="32"/>
                <w:szCs w:val="32"/>
              </w:rPr>
              <w:t>100.00%</w:t>
            </w:r>
          </w:p>
        </w:tc>
      </w:tr>
      <w:tr w14:paraId="103301FA">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80" w:hRule="atLeast"/>
        </w:trPr>
        <w:tc>
          <w:tcPr>
            <w:tcW w:w="2740" w:type="dxa"/>
            <w:tcBorders>
              <w:top w:val="single" w:color="000000" w:sz="4" w:space="0"/>
              <w:left w:val="single" w:color="000000" w:sz="4" w:space="0"/>
              <w:bottom w:val="single" w:color="000000" w:sz="4" w:space="0"/>
              <w:right w:val="single" w:color="000000" w:sz="4" w:space="0"/>
            </w:tcBorders>
            <w:vAlign w:val="center"/>
          </w:tcPr>
          <w:p w14:paraId="722D9080">
            <w:pPr>
              <w:keepNext w:val="0"/>
              <w:keepLines w:val="0"/>
              <w:widowControl/>
              <w:suppressLineNumbers w:val="0"/>
              <w:jc w:val="left"/>
              <w:textAlignment w:val="center"/>
              <w:rPr>
                <w:rFonts w:hint="eastAsia" w:ascii="仿宋" w:hAnsi="仿宋" w:eastAsia="仿宋" w:cs="仿宋"/>
                <w:i w:val="0"/>
                <w:iCs w:val="0"/>
                <w:color w:val="000000"/>
                <w:kern w:val="0"/>
                <w:sz w:val="32"/>
                <w:szCs w:val="32"/>
                <w:u w:val="none"/>
                <w:lang w:val="en-US" w:eastAsia="zh-CN" w:bidi="ar"/>
              </w:rPr>
            </w:pPr>
            <w:r>
              <w:rPr>
                <w:rFonts w:hint="eastAsia" w:ascii="仿宋" w:hAnsi="仿宋" w:eastAsia="仿宋" w:cs="仿宋"/>
                <w:i w:val="0"/>
                <w:iCs w:val="0"/>
                <w:color w:val="000000"/>
                <w:kern w:val="0"/>
                <w:sz w:val="32"/>
                <w:szCs w:val="32"/>
                <w:u w:val="none"/>
                <w:lang w:val="en-US" w:eastAsia="zh-CN" w:bidi="ar"/>
              </w:rPr>
              <w:t>第十五届全运会省属场馆广东海上运动场维修改造项目</w:t>
            </w:r>
          </w:p>
        </w:tc>
        <w:tc>
          <w:tcPr>
            <w:tcW w:w="1280" w:type="dxa"/>
            <w:gridSpan w:val="2"/>
            <w:tcBorders>
              <w:top w:val="single" w:color="000000" w:sz="4" w:space="0"/>
              <w:left w:val="single" w:color="000000" w:sz="4" w:space="0"/>
              <w:bottom w:val="single" w:color="000000" w:sz="4" w:space="0"/>
              <w:right w:val="single" w:color="000000" w:sz="4" w:space="0"/>
            </w:tcBorders>
            <w:vAlign w:val="center"/>
          </w:tcPr>
          <w:p w14:paraId="6A3EE038">
            <w:pPr>
              <w:keepNext w:val="0"/>
              <w:keepLines w:val="0"/>
              <w:widowControl/>
              <w:suppressLineNumbers w:val="0"/>
              <w:jc w:val="right"/>
              <w:textAlignment w:val="center"/>
              <w:rPr>
                <w:rFonts w:hint="eastAsia" w:ascii="仿宋" w:hAnsi="仿宋" w:eastAsia="仿宋" w:cs="仿宋"/>
                <w:i w:val="0"/>
                <w:iCs w:val="0"/>
                <w:color w:val="000000"/>
                <w:kern w:val="0"/>
                <w:sz w:val="32"/>
                <w:szCs w:val="32"/>
                <w:u w:val="none"/>
                <w:lang w:val="en-US" w:eastAsia="zh-CN" w:bidi="ar"/>
              </w:rPr>
            </w:pPr>
            <w:r>
              <w:rPr>
                <w:rFonts w:hint="eastAsia" w:ascii="仿宋" w:hAnsi="仿宋" w:eastAsia="仿宋" w:cs="仿宋"/>
                <w:i w:val="0"/>
                <w:iCs w:val="0"/>
                <w:color w:val="000000"/>
                <w:kern w:val="0"/>
                <w:sz w:val="32"/>
                <w:szCs w:val="32"/>
                <w:u w:val="none"/>
                <w:lang w:val="en-US" w:eastAsia="zh-CN" w:bidi="ar"/>
              </w:rPr>
              <w:t>66.56</w:t>
            </w:r>
          </w:p>
        </w:tc>
        <w:tc>
          <w:tcPr>
            <w:tcW w:w="1100" w:type="dxa"/>
            <w:gridSpan w:val="2"/>
            <w:tcBorders>
              <w:top w:val="single" w:color="000000" w:sz="4" w:space="0"/>
              <w:left w:val="single" w:color="000000" w:sz="4" w:space="0"/>
              <w:bottom w:val="single" w:color="000000" w:sz="4" w:space="0"/>
              <w:right w:val="single" w:color="000000" w:sz="4" w:space="0"/>
            </w:tcBorders>
            <w:vAlign w:val="top"/>
          </w:tcPr>
          <w:p w14:paraId="302F8C29">
            <w:pPr>
              <w:spacing w:before="78" w:line="239" w:lineRule="auto"/>
              <w:ind w:firstLine="525"/>
              <w:jc w:val="right"/>
              <w:rPr>
                <w:rFonts w:hint="eastAsia" w:ascii="仿宋" w:hAnsi="仿宋" w:eastAsia="仿宋" w:cs="仿宋"/>
                <w:color w:val="000000"/>
                <w:sz w:val="32"/>
                <w:szCs w:val="32"/>
              </w:rPr>
            </w:pPr>
          </w:p>
        </w:tc>
        <w:tc>
          <w:tcPr>
            <w:tcW w:w="1340" w:type="dxa"/>
            <w:gridSpan w:val="2"/>
            <w:tcBorders>
              <w:top w:val="single" w:color="000000" w:sz="4" w:space="0"/>
              <w:left w:val="single" w:color="000000" w:sz="4" w:space="0"/>
              <w:bottom w:val="single" w:color="000000" w:sz="4" w:space="0"/>
              <w:right w:val="single" w:color="000000" w:sz="4" w:space="0"/>
            </w:tcBorders>
            <w:vAlign w:val="center"/>
          </w:tcPr>
          <w:p w14:paraId="4BD44DB3">
            <w:pPr>
              <w:keepNext w:val="0"/>
              <w:keepLines w:val="0"/>
              <w:widowControl/>
              <w:suppressLineNumbers w:val="0"/>
              <w:jc w:val="right"/>
              <w:textAlignment w:val="center"/>
              <w:rPr>
                <w:rFonts w:hint="eastAsia" w:ascii="仿宋" w:hAnsi="仿宋" w:eastAsia="仿宋" w:cs="仿宋"/>
                <w:i w:val="0"/>
                <w:iCs w:val="0"/>
                <w:color w:val="000000"/>
                <w:kern w:val="0"/>
                <w:sz w:val="32"/>
                <w:szCs w:val="32"/>
                <w:u w:val="none"/>
                <w:lang w:val="en-US" w:eastAsia="zh-CN" w:bidi="ar"/>
              </w:rPr>
            </w:pPr>
            <w:r>
              <w:rPr>
                <w:rFonts w:hint="eastAsia" w:ascii="仿宋" w:hAnsi="仿宋" w:eastAsia="仿宋" w:cs="仿宋"/>
                <w:i w:val="0"/>
                <w:iCs w:val="0"/>
                <w:color w:val="000000"/>
                <w:kern w:val="0"/>
                <w:sz w:val="32"/>
                <w:szCs w:val="32"/>
                <w:u w:val="none"/>
                <w:lang w:val="en-US" w:eastAsia="zh-CN" w:bidi="ar"/>
              </w:rPr>
              <w:t>66.56</w:t>
            </w:r>
          </w:p>
        </w:tc>
        <w:tc>
          <w:tcPr>
            <w:tcW w:w="1340" w:type="dxa"/>
            <w:gridSpan w:val="2"/>
            <w:tcBorders>
              <w:top w:val="single" w:color="000000" w:sz="4" w:space="0"/>
              <w:left w:val="single" w:color="000000" w:sz="4" w:space="0"/>
              <w:bottom w:val="single" w:color="000000" w:sz="4" w:space="0"/>
              <w:right w:val="single" w:color="000000" w:sz="4" w:space="0"/>
            </w:tcBorders>
            <w:vAlign w:val="center"/>
          </w:tcPr>
          <w:p w14:paraId="6EDBEE10">
            <w:pPr>
              <w:keepNext w:val="0"/>
              <w:keepLines w:val="0"/>
              <w:widowControl/>
              <w:suppressLineNumbers w:val="0"/>
              <w:jc w:val="right"/>
              <w:textAlignment w:val="center"/>
              <w:rPr>
                <w:rFonts w:hint="eastAsia" w:ascii="仿宋" w:hAnsi="仿宋" w:eastAsia="仿宋" w:cs="仿宋"/>
                <w:i w:val="0"/>
                <w:iCs w:val="0"/>
                <w:color w:val="000000"/>
                <w:kern w:val="0"/>
                <w:sz w:val="32"/>
                <w:szCs w:val="32"/>
                <w:u w:val="none"/>
                <w:lang w:val="en-US" w:eastAsia="zh-CN" w:bidi="ar"/>
              </w:rPr>
            </w:pPr>
            <w:r>
              <w:rPr>
                <w:rFonts w:hint="eastAsia" w:ascii="仿宋" w:hAnsi="仿宋" w:eastAsia="仿宋" w:cs="仿宋"/>
                <w:i w:val="0"/>
                <w:iCs w:val="0"/>
                <w:color w:val="000000"/>
                <w:kern w:val="0"/>
                <w:sz w:val="32"/>
                <w:szCs w:val="32"/>
                <w:u w:val="none"/>
                <w:lang w:val="en-US" w:eastAsia="zh-CN" w:bidi="ar"/>
              </w:rPr>
              <w:t>66.56</w:t>
            </w:r>
          </w:p>
        </w:tc>
        <w:tc>
          <w:tcPr>
            <w:tcW w:w="1460" w:type="dxa"/>
            <w:gridSpan w:val="2"/>
            <w:tcBorders>
              <w:top w:val="single" w:color="000000" w:sz="4" w:space="0"/>
              <w:left w:val="single" w:color="000000" w:sz="4" w:space="0"/>
              <w:bottom w:val="single" w:color="000000" w:sz="4" w:space="0"/>
              <w:right w:val="single" w:color="000000" w:sz="4" w:space="0"/>
            </w:tcBorders>
            <w:vAlign w:val="top"/>
          </w:tcPr>
          <w:p w14:paraId="037E02A8">
            <w:pPr>
              <w:spacing w:before="78" w:line="239" w:lineRule="auto"/>
              <w:ind w:firstLine="552"/>
              <w:jc w:val="right"/>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100%</w:t>
            </w:r>
          </w:p>
        </w:tc>
      </w:tr>
      <w:tr w14:paraId="778FF464">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80" w:hRule="atLeast"/>
        </w:trPr>
        <w:tc>
          <w:tcPr>
            <w:tcW w:w="2740" w:type="dxa"/>
            <w:tcBorders>
              <w:top w:val="single" w:color="000000" w:sz="4" w:space="0"/>
              <w:left w:val="single" w:color="000000" w:sz="4" w:space="0"/>
              <w:bottom w:val="single" w:color="000000" w:sz="4" w:space="0"/>
              <w:right w:val="single" w:color="000000" w:sz="4" w:space="0"/>
            </w:tcBorders>
            <w:vAlign w:val="center"/>
          </w:tcPr>
          <w:p w14:paraId="6C179E45">
            <w:pPr>
              <w:keepNext w:val="0"/>
              <w:keepLines w:val="0"/>
              <w:widowControl/>
              <w:suppressLineNumbers w:val="0"/>
              <w:jc w:val="left"/>
              <w:textAlignment w:val="center"/>
              <w:rPr>
                <w:rFonts w:hint="eastAsia" w:ascii="仿宋" w:hAnsi="仿宋" w:eastAsia="仿宋" w:cs="仿宋"/>
                <w:sz w:val="32"/>
                <w:szCs w:val="32"/>
              </w:rPr>
            </w:pPr>
            <w:r>
              <w:rPr>
                <w:rFonts w:hint="eastAsia" w:ascii="仿宋" w:hAnsi="仿宋" w:eastAsia="仿宋" w:cs="仿宋"/>
                <w:i w:val="0"/>
                <w:iCs w:val="0"/>
                <w:color w:val="000000"/>
                <w:kern w:val="0"/>
                <w:sz w:val="32"/>
                <w:szCs w:val="32"/>
                <w:u w:val="none"/>
                <w:lang w:val="en-US" w:eastAsia="zh-CN" w:bidi="ar"/>
              </w:rPr>
              <w:t>三大运动会奖金-海上中心</w:t>
            </w:r>
          </w:p>
        </w:tc>
        <w:tc>
          <w:tcPr>
            <w:tcW w:w="1280" w:type="dxa"/>
            <w:gridSpan w:val="2"/>
            <w:tcBorders>
              <w:top w:val="single" w:color="000000" w:sz="4" w:space="0"/>
              <w:left w:val="single" w:color="000000" w:sz="4" w:space="0"/>
              <w:bottom w:val="single" w:color="000000" w:sz="4" w:space="0"/>
              <w:right w:val="single" w:color="000000" w:sz="4" w:space="0"/>
            </w:tcBorders>
            <w:vAlign w:val="center"/>
          </w:tcPr>
          <w:p w14:paraId="6153553E">
            <w:pPr>
              <w:keepNext w:val="0"/>
              <w:keepLines w:val="0"/>
              <w:widowControl/>
              <w:suppressLineNumbers w:val="0"/>
              <w:jc w:val="right"/>
              <w:textAlignment w:val="center"/>
              <w:rPr>
                <w:rFonts w:hint="eastAsia" w:ascii="仿宋" w:hAnsi="仿宋" w:eastAsia="仿宋" w:cs="仿宋"/>
                <w:sz w:val="32"/>
                <w:szCs w:val="32"/>
              </w:rPr>
            </w:pPr>
            <w:r>
              <w:rPr>
                <w:rFonts w:hint="eastAsia" w:ascii="仿宋" w:hAnsi="仿宋" w:eastAsia="仿宋" w:cs="仿宋"/>
                <w:i w:val="0"/>
                <w:iCs w:val="0"/>
                <w:color w:val="000000"/>
                <w:kern w:val="0"/>
                <w:sz w:val="32"/>
                <w:szCs w:val="32"/>
                <w:u w:val="none"/>
                <w:lang w:val="en-US" w:eastAsia="zh-CN" w:bidi="ar"/>
              </w:rPr>
              <w:t xml:space="preserve">14.22 </w:t>
            </w:r>
          </w:p>
        </w:tc>
        <w:tc>
          <w:tcPr>
            <w:tcW w:w="1100" w:type="dxa"/>
            <w:gridSpan w:val="2"/>
            <w:tcBorders>
              <w:top w:val="single" w:color="000000" w:sz="4" w:space="0"/>
              <w:left w:val="single" w:color="000000" w:sz="4" w:space="0"/>
              <w:bottom w:val="single" w:color="000000" w:sz="4" w:space="0"/>
              <w:right w:val="single" w:color="000000" w:sz="4" w:space="0"/>
            </w:tcBorders>
            <w:vAlign w:val="top"/>
          </w:tcPr>
          <w:p w14:paraId="74B10EE1">
            <w:pPr>
              <w:spacing w:before="71" w:line="254" w:lineRule="auto"/>
              <w:ind w:firstLine="525"/>
              <w:jc w:val="right"/>
              <w:rPr>
                <w:rFonts w:hint="eastAsia" w:ascii="仿宋" w:hAnsi="仿宋" w:eastAsia="仿宋" w:cs="仿宋"/>
                <w:sz w:val="32"/>
                <w:szCs w:val="32"/>
              </w:rPr>
            </w:pPr>
            <w:r>
              <w:rPr>
                <w:rFonts w:hint="eastAsia" w:ascii="仿宋" w:hAnsi="仿宋" w:eastAsia="仿宋" w:cs="仿宋"/>
                <w:color w:val="000000"/>
                <w:sz w:val="32"/>
                <w:szCs w:val="32"/>
              </w:rPr>
              <w:t>0.00</w:t>
            </w:r>
          </w:p>
        </w:tc>
        <w:tc>
          <w:tcPr>
            <w:tcW w:w="1340" w:type="dxa"/>
            <w:gridSpan w:val="2"/>
            <w:tcBorders>
              <w:top w:val="single" w:color="000000" w:sz="4" w:space="0"/>
              <w:left w:val="single" w:color="000000" w:sz="4" w:space="0"/>
              <w:bottom w:val="single" w:color="000000" w:sz="4" w:space="0"/>
              <w:right w:val="single" w:color="000000" w:sz="4" w:space="0"/>
            </w:tcBorders>
            <w:vAlign w:val="center"/>
          </w:tcPr>
          <w:p w14:paraId="6B73AFE6">
            <w:pPr>
              <w:keepNext w:val="0"/>
              <w:keepLines w:val="0"/>
              <w:widowControl/>
              <w:suppressLineNumbers w:val="0"/>
              <w:jc w:val="right"/>
              <w:textAlignment w:val="center"/>
              <w:rPr>
                <w:rFonts w:hint="eastAsia" w:ascii="仿宋" w:hAnsi="仿宋" w:eastAsia="仿宋" w:cs="仿宋"/>
                <w:sz w:val="32"/>
                <w:szCs w:val="32"/>
              </w:rPr>
            </w:pPr>
            <w:r>
              <w:rPr>
                <w:rFonts w:hint="eastAsia" w:ascii="仿宋" w:hAnsi="仿宋" w:eastAsia="仿宋" w:cs="仿宋"/>
                <w:i w:val="0"/>
                <w:iCs w:val="0"/>
                <w:color w:val="000000"/>
                <w:kern w:val="0"/>
                <w:sz w:val="32"/>
                <w:szCs w:val="32"/>
                <w:u w:val="none"/>
                <w:lang w:val="en-US" w:eastAsia="zh-CN" w:bidi="ar"/>
              </w:rPr>
              <w:t xml:space="preserve">14.22 </w:t>
            </w:r>
          </w:p>
        </w:tc>
        <w:tc>
          <w:tcPr>
            <w:tcW w:w="1340" w:type="dxa"/>
            <w:gridSpan w:val="2"/>
            <w:tcBorders>
              <w:top w:val="single" w:color="000000" w:sz="4" w:space="0"/>
              <w:left w:val="single" w:color="000000" w:sz="4" w:space="0"/>
              <w:bottom w:val="single" w:color="000000" w:sz="4" w:space="0"/>
              <w:right w:val="single" w:color="000000" w:sz="4" w:space="0"/>
            </w:tcBorders>
            <w:vAlign w:val="center"/>
          </w:tcPr>
          <w:p w14:paraId="64F11914">
            <w:pPr>
              <w:keepNext w:val="0"/>
              <w:keepLines w:val="0"/>
              <w:widowControl/>
              <w:suppressLineNumbers w:val="0"/>
              <w:jc w:val="right"/>
              <w:textAlignment w:val="center"/>
              <w:rPr>
                <w:rFonts w:hint="eastAsia" w:ascii="仿宋" w:hAnsi="仿宋" w:eastAsia="仿宋" w:cs="仿宋"/>
                <w:sz w:val="32"/>
                <w:szCs w:val="32"/>
              </w:rPr>
            </w:pPr>
            <w:r>
              <w:rPr>
                <w:rFonts w:hint="eastAsia" w:ascii="仿宋" w:hAnsi="仿宋" w:eastAsia="仿宋" w:cs="仿宋"/>
                <w:i w:val="0"/>
                <w:iCs w:val="0"/>
                <w:color w:val="000000"/>
                <w:kern w:val="0"/>
                <w:sz w:val="32"/>
                <w:szCs w:val="32"/>
                <w:u w:val="none"/>
                <w:lang w:val="en-US" w:eastAsia="zh-CN" w:bidi="ar"/>
              </w:rPr>
              <w:t xml:space="preserve">14.22 </w:t>
            </w:r>
          </w:p>
        </w:tc>
        <w:tc>
          <w:tcPr>
            <w:tcW w:w="1460" w:type="dxa"/>
            <w:gridSpan w:val="2"/>
            <w:tcBorders>
              <w:top w:val="single" w:color="000000" w:sz="4" w:space="0"/>
              <w:left w:val="single" w:color="000000" w:sz="4" w:space="0"/>
              <w:bottom w:val="single" w:color="000000" w:sz="4" w:space="0"/>
              <w:right w:val="single" w:color="000000" w:sz="4" w:space="0"/>
            </w:tcBorders>
            <w:vAlign w:val="top"/>
          </w:tcPr>
          <w:p w14:paraId="2C6C6BE9">
            <w:pPr>
              <w:spacing w:before="71" w:line="254" w:lineRule="auto"/>
              <w:ind w:firstLine="652"/>
              <w:jc w:val="right"/>
              <w:rPr>
                <w:rFonts w:hint="eastAsia" w:ascii="仿宋" w:hAnsi="仿宋" w:eastAsia="仿宋" w:cs="仿宋"/>
                <w:sz w:val="32"/>
                <w:szCs w:val="32"/>
              </w:rPr>
            </w:pPr>
            <w:r>
              <w:rPr>
                <w:rFonts w:hint="eastAsia" w:ascii="仿宋" w:hAnsi="仿宋" w:eastAsia="仿宋" w:cs="仿宋"/>
                <w:color w:val="000000"/>
                <w:sz w:val="32"/>
                <w:szCs w:val="32"/>
                <w:lang w:val="en-US" w:eastAsia="zh-CN"/>
              </w:rPr>
              <w:t>100</w:t>
            </w:r>
            <w:r>
              <w:rPr>
                <w:rFonts w:hint="eastAsia" w:ascii="仿宋" w:hAnsi="仿宋" w:eastAsia="仿宋" w:cs="仿宋"/>
                <w:color w:val="000000"/>
                <w:sz w:val="32"/>
                <w:szCs w:val="32"/>
              </w:rPr>
              <w:t>%</w:t>
            </w:r>
          </w:p>
        </w:tc>
      </w:tr>
      <w:tr w14:paraId="49C638D0">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wBefore w:w="0" w:type="auto"/>
          <w:trHeight w:val="460" w:hRule="atLeast"/>
        </w:trPr>
        <w:tc>
          <w:tcPr>
            <w:tcW w:w="2820" w:type="dxa"/>
            <w:gridSpan w:val="2"/>
            <w:tcBorders>
              <w:top w:val="single" w:color="000000" w:sz="4" w:space="0"/>
              <w:left w:val="single" w:color="000000" w:sz="4" w:space="0"/>
              <w:bottom w:val="single" w:color="000000" w:sz="4" w:space="0"/>
              <w:right w:val="single" w:color="000000" w:sz="4" w:space="0"/>
            </w:tcBorders>
            <w:vAlign w:val="top"/>
          </w:tcPr>
          <w:p w14:paraId="452D2E02">
            <w:pPr>
              <w:spacing w:before="10" w:line="254" w:lineRule="auto"/>
              <w:ind w:firstLine="80"/>
              <w:jc w:val="both"/>
              <w:rPr>
                <w:rFonts w:hint="eastAsia" w:ascii="仿宋" w:hAnsi="仿宋" w:eastAsia="仿宋" w:cs="仿宋"/>
                <w:sz w:val="32"/>
                <w:szCs w:val="32"/>
              </w:rPr>
            </w:pPr>
            <w:r>
              <w:rPr>
                <w:rFonts w:hint="eastAsia" w:ascii="仿宋" w:hAnsi="仿宋" w:eastAsia="仿宋" w:cs="仿宋"/>
                <w:color w:val="000000"/>
                <w:sz w:val="32"/>
                <w:szCs w:val="32"/>
              </w:rPr>
              <w:t>合计</w:t>
            </w:r>
          </w:p>
        </w:tc>
        <w:tc>
          <w:tcPr>
            <w:tcW w:w="1240" w:type="dxa"/>
            <w:gridSpan w:val="2"/>
            <w:tcBorders>
              <w:top w:val="single" w:color="000000" w:sz="4" w:space="0"/>
              <w:left w:val="single" w:color="000000" w:sz="4" w:space="0"/>
              <w:bottom w:val="single" w:color="000000" w:sz="4" w:space="0"/>
              <w:right w:val="single" w:color="000000" w:sz="4" w:space="0"/>
            </w:tcBorders>
            <w:vAlign w:val="top"/>
          </w:tcPr>
          <w:p w14:paraId="201E6AA2">
            <w:pPr>
              <w:spacing w:line="274" w:lineRule="auto"/>
              <w:ind w:firstLine="330"/>
              <w:jc w:val="right"/>
              <w:rPr>
                <w:rFonts w:hint="eastAsia" w:ascii="仿宋" w:hAnsi="仿宋" w:eastAsia="仿宋" w:cs="仿宋"/>
                <w:sz w:val="32"/>
                <w:szCs w:val="32"/>
                <w:lang w:val="en-US"/>
              </w:rPr>
            </w:pPr>
            <w:r>
              <w:rPr>
                <w:rFonts w:hint="eastAsia" w:ascii="仿宋" w:hAnsi="仿宋" w:eastAsia="仿宋" w:cs="仿宋"/>
                <w:color w:val="000000"/>
                <w:sz w:val="32"/>
                <w:szCs w:val="32"/>
                <w:lang w:val="en-US" w:eastAsia="zh-CN"/>
              </w:rPr>
              <w:t>3398.98</w:t>
            </w:r>
          </w:p>
        </w:tc>
        <w:tc>
          <w:tcPr>
            <w:tcW w:w="1100" w:type="dxa"/>
            <w:gridSpan w:val="2"/>
            <w:tcBorders>
              <w:top w:val="single" w:color="000000" w:sz="4" w:space="0"/>
              <w:left w:val="single" w:color="000000" w:sz="4" w:space="0"/>
              <w:bottom w:val="single" w:color="000000" w:sz="4" w:space="0"/>
              <w:right w:val="single" w:color="000000" w:sz="4" w:space="0"/>
            </w:tcBorders>
            <w:vAlign w:val="top"/>
          </w:tcPr>
          <w:p w14:paraId="574BC2BE">
            <w:pPr>
              <w:spacing w:line="228" w:lineRule="auto"/>
              <w:ind w:firstLine="496"/>
              <w:jc w:val="right"/>
              <w:rPr>
                <w:rFonts w:hint="eastAsia" w:ascii="仿宋" w:hAnsi="仿宋" w:eastAsia="仿宋" w:cs="仿宋"/>
                <w:sz w:val="32"/>
                <w:szCs w:val="32"/>
              </w:rPr>
            </w:pPr>
            <w:r>
              <w:rPr>
                <w:rFonts w:hint="eastAsia" w:ascii="仿宋" w:hAnsi="仿宋" w:eastAsia="仿宋" w:cs="仿宋"/>
                <w:color w:val="000000"/>
                <w:sz w:val="32"/>
                <w:szCs w:val="32"/>
              </w:rPr>
              <w:t>0.00</w:t>
            </w:r>
          </w:p>
        </w:tc>
        <w:tc>
          <w:tcPr>
            <w:tcW w:w="1340" w:type="dxa"/>
            <w:gridSpan w:val="2"/>
            <w:tcBorders>
              <w:top w:val="single" w:color="000000" w:sz="4" w:space="0"/>
              <w:left w:val="single" w:color="000000" w:sz="4" w:space="0"/>
              <w:bottom w:val="single" w:color="000000" w:sz="4" w:space="0"/>
              <w:right w:val="single" w:color="000000" w:sz="4" w:space="0"/>
            </w:tcBorders>
            <w:vAlign w:val="top"/>
          </w:tcPr>
          <w:p w14:paraId="7621DB6B">
            <w:pPr>
              <w:spacing w:before="10" w:line="360" w:lineRule="auto"/>
              <w:ind w:firstLine="424"/>
              <w:jc w:val="righ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3398.98</w:t>
            </w:r>
          </w:p>
        </w:tc>
        <w:tc>
          <w:tcPr>
            <w:tcW w:w="1320" w:type="dxa"/>
            <w:gridSpan w:val="2"/>
            <w:tcBorders>
              <w:top w:val="single" w:color="000000" w:sz="4" w:space="0"/>
              <w:left w:val="single" w:color="000000" w:sz="4" w:space="0"/>
              <w:bottom w:val="single" w:color="000000" w:sz="4" w:space="0"/>
              <w:right w:val="single" w:color="000000" w:sz="4" w:space="0"/>
            </w:tcBorders>
            <w:vAlign w:val="top"/>
          </w:tcPr>
          <w:p w14:paraId="668C026F">
            <w:pPr>
              <w:spacing w:line="245" w:lineRule="auto"/>
              <w:ind w:firstLine="250"/>
              <w:jc w:val="right"/>
              <w:rPr>
                <w:rFonts w:hint="eastAsia" w:ascii="仿宋" w:hAnsi="仿宋" w:eastAsia="仿宋" w:cs="仿宋"/>
                <w:sz w:val="32"/>
                <w:szCs w:val="32"/>
                <w:lang w:val="en-US" w:eastAsia="zh-CN"/>
              </w:rPr>
            </w:pPr>
            <w:r>
              <w:rPr>
                <w:rFonts w:hint="eastAsia" w:ascii="仿宋" w:hAnsi="仿宋" w:eastAsia="仿宋" w:cs="仿宋"/>
                <w:color w:val="000000"/>
                <w:sz w:val="32"/>
                <w:szCs w:val="32"/>
                <w:lang w:val="en-US" w:eastAsia="zh-CN"/>
              </w:rPr>
              <w:t>3067.09</w:t>
            </w:r>
          </w:p>
        </w:tc>
        <w:tc>
          <w:tcPr>
            <w:tcW w:w="1440" w:type="dxa"/>
            <w:tcBorders>
              <w:top w:val="single" w:color="000000" w:sz="4" w:space="0"/>
              <w:left w:val="single" w:color="000000" w:sz="4" w:space="0"/>
              <w:bottom w:val="single" w:color="000000" w:sz="4" w:space="0"/>
              <w:right w:val="single" w:color="000000" w:sz="4" w:space="0"/>
            </w:tcBorders>
            <w:vAlign w:val="top"/>
          </w:tcPr>
          <w:p w14:paraId="17DEA559">
            <w:pPr>
              <w:spacing w:line="285" w:lineRule="auto"/>
              <w:ind w:firstLine="635"/>
              <w:jc w:val="right"/>
              <w:rPr>
                <w:rFonts w:hint="eastAsia" w:ascii="仿宋" w:hAnsi="仿宋" w:eastAsia="仿宋" w:cs="仿宋"/>
                <w:sz w:val="32"/>
                <w:szCs w:val="32"/>
              </w:rPr>
            </w:pPr>
            <w:r>
              <w:rPr>
                <w:rFonts w:hint="eastAsia" w:ascii="仿宋" w:hAnsi="仿宋" w:eastAsia="仿宋" w:cs="仿宋"/>
                <w:color w:val="000000"/>
                <w:sz w:val="32"/>
                <w:szCs w:val="32"/>
                <w:lang w:val="en-US" w:eastAsia="zh-CN"/>
              </w:rPr>
              <w:t>90.24</w:t>
            </w:r>
            <w:r>
              <w:rPr>
                <w:rFonts w:hint="eastAsia" w:ascii="仿宋" w:hAnsi="仿宋" w:eastAsia="仿宋" w:cs="仿宋"/>
                <w:color w:val="000000"/>
                <w:sz w:val="32"/>
                <w:szCs w:val="32"/>
              </w:rPr>
              <w:t>%</w:t>
            </w:r>
          </w:p>
        </w:tc>
      </w:tr>
    </w:tbl>
    <w:p w14:paraId="49A06DDD">
      <w:pPr>
        <w:wordWrap w:val="0"/>
        <w:spacing w:line="240" w:lineRule="auto"/>
        <w:ind w:firstLine="0"/>
        <w:jc w:val="both"/>
        <w:rPr>
          <w:rFonts w:hint="eastAsia" w:ascii="仿宋" w:hAnsi="仿宋" w:eastAsia="仿宋" w:cs="仿宋"/>
          <w:color w:val="000000"/>
          <w:sz w:val="32"/>
          <w:szCs w:val="32"/>
        </w:rPr>
      </w:pPr>
    </w:p>
    <w:p w14:paraId="046BEF11">
      <w:pPr>
        <w:wordWrap w:val="0"/>
        <w:spacing w:line="239" w:lineRule="auto"/>
        <w:ind w:firstLine="660"/>
        <w:jc w:val="both"/>
        <w:rPr>
          <w:rFonts w:hint="eastAsia" w:ascii="仿宋" w:hAnsi="仿宋" w:eastAsia="仿宋" w:cs="仿宋"/>
          <w:sz w:val="32"/>
          <w:szCs w:val="32"/>
        </w:rPr>
      </w:pPr>
      <w:r>
        <w:rPr>
          <w:rFonts w:hint="eastAsia" w:ascii="仿宋" w:hAnsi="仿宋" w:eastAsia="仿宋" w:cs="仿宋"/>
          <w:color w:val="000000"/>
          <w:sz w:val="32"/>
          <w:szCs w:val="32"/>
        </w:rPr>
        <w:t>3、“三公”经费、会议费、培训费等经费的管理使用情况</w:t>
      </w:r>
    </w:p>
    <w:p w14:paraId="2018580A">
      <w:pPr>
        <w:wordWrap w:val="0"/>
        <w:spacing w:line="240" w:lineRule="auto"/>
        <w:ind w:firstLine="0"/>
        <w:jc w:val="both"/>
        <w:rPr>
          <w:rFonts w:hint="eastAsia" w:ascii="仿宋" w:hAnsi="仿宋" w:eastAsia="仿宋" w:cs="仿宋"/>
          <w:color w:val="000000"/>
          <w:sz w:val="32"/>
          <w:szCs w:val="32"/>
        </w:rPr>
      </w:pPr>
    </w:p>
    <w:p w14:paraId="3B4ACCB8">
      <w:pPr>
        <w:wordWrap w:val="0"/>
        <w:spacing w:line="335" w:lineRule="auto"/>
        <w:ind w:left="20" w:right="280" w:firstLine="640"/>
        <w:jc w:val="both"/>
        <w:rPr>
          <w:rFonts w:hint="eastAsia" w:ascii="仿宋" w:hAnsi="仿宋" w:eastAsia="仿宋" w:cs="仿宋"/>
          <w:sz w:val="32"/>
          <w:szCs w:val="32"/>
        </w:rPr>
      </w:pPr>
      <w:r>
        <w:rPr>
          <w:rFonts w:hint="eastAsia" w:ascii="仿宋" w:hAnsi="仿宋" w:eastAsia="仿宋" w:cs="仿宋"/>
          <w:sz w:val="32"/>
          <w:szCs w:val="32"/>
        </w:rPr>
        <w:t>广东海上项目训练中心2023年度“三公”经费财政拨款支出 决算为365.38万元，完成全年预算445.38万元的82%，比上年决算 数增加117.85万元，增长47.6%。其中：因公出国（境）费支出决 算为356.6万元，完成预算436.6万元的81.7%，比上年决算数增加 114.6万元，增长47.4%；公务用车购置及运行维护费支出决算为 8.64万元，完成预算8.64万元的100%，比上年决算数增加3.11万 元，增长56.2%；其中：公务用车购置支出决算为0万元，完成预 算0万元的基数为0，不可比，比上年决算数增加0万元，增长0， 主要变动情况：与上年决算数持平；公务用车运行维护费支出决 算为8.64万元，完成预算8.64万元的100%，比上年决算数增加 3.11万元，增长56.2%；公务接待费支出决算为0.14万元，完成预 算0.14万元的100%，比上年决算数增加0.14万元，增长100%，主 要变动情况：比上年决算数增加1个接待团。</w:t>
      </w:r>
    </w:p>
    <w:p w14:paraId="71A1CA7F">
      <w:pPr>
        <w:wordWrap w:val="0"/>
        <w:spacing w:line="240" w:lineRule="auto"/>
        <w:ind w:firstLine="0"/>
        <w:jc w:val="both"/>
        <w:rPr>
          <w:rFonts w:hint="eastAsia" w:ascii="仿宋" w:hAnsi="仿宋" w:eastAsia="仿宋" w:cs="仿宋"/>
          <w:color w:val="000000"/>
          <w:sz w:val="32"/>
          <w:szCs w:val="32"/>
        </w:rPr>
      </w:pPr>
    </w:p>
    <w:p w14:paraId="6826C506">
      <w:pPr>
        <w:wordWrap w:val="0"/>
        <w:spacing w:line="239" w:lineRule="auto"/>
        <w:ind w:firstLine="660"/>
        <w:jc w:val="both"/>
        <w:rPr>
          <w:rFonts w:hint="eastAsia" w:ascii="仿宋" w:hAnsi="仿宋" w:eastAsia="仿宋" w:cs="仿宋"/>
          <w:sz w:val="32"/>
          <w:szCs w:val="32"/>
        </w:rPr>
      </w:pPr>
      <w:r>
        <w:rPr>
          <w:rFonts w:hint="eastAsia" w:ascii="仿宋" w:hAnsi="仿宋" w:eastAsia="仿宋" w:cs="仿宋"/>
          <w:b/>
          <w:color w:val="000000"/>
          <w:sz w:val="32"/>
          <w:szCs w:val="32"/>
        </w:rPr>
        <w:t>二、绩效自评情况</w:t>
      </w:r>
    </w:p>
    <w:p w14:paraId="3175E18E">
      <w:pPr>
        <w:wordWrap w:val="0"/>
        <w:spacing w:line="240" w:lineRule="auto"/>
        <w:ind w:firstLine="0"/>
        <w:jc w:val="both"/>
        <w:rPr>
          <w:rFonts w:hint="eastAsia" w:ascii="仿宋" w:hAnsi="仿宋" w:eastAsia="仿宋" w:cs="仿宋"/>
          <w:color w:val="000000"/>
          <w:sz w:val="32"/>
          <w:szCs w:val="32"/>
        </w:rPr>
      </w:pPr>
    </w:p>
    <w:p w14:paraId="68DC22F3">
      <w:pPr>
        <w:wordWrap w:val="0"/>
        <w:spacing w:line="254" w:lineRule="auto"/>
        <w:ind w:firstLine="820"/>
        <w:jc w:val="both"/>
        <w:rPr>
          <w:rFonts w:hint="eastAsia" w:ascii="仿宋" w:hAnsi="仿宋" w:eastAsia="仿宋" w:cs="仿宋"/>
          <w:sz w:val="32"/>
          <w:szCs w:val="32"/>
        </w:rPr>
      </w:pPr>
      <w:r>
        <w:rPr>
          <w:rFonts w:hint="eastAsia" w:ascii="仿宋" w:hAnsi="仿宋" w:eastAsia="仿宋" w:cs="仿宋"/>
          <w:b/>
          <w:color w:val="000000"/>
          <w:sz w:val="32"/>
          <w:szCs w:val="32"/>
        </w:rPr>
        <w:t>（一）自评结论</w:t>
      </w:r>
    </w:p>
    <w:p w14:paraId="714531D3">
      <w:pPr>
        <w:wordWrap w:val="0"/>
        <w:spacing w:line="359" w:lineRule="auto"/>
        <w:ind w:firstLine="840"/>
        <w:jc w:val="both"/>
        <w:rPr>
          <w:rFonts w:hint="eastAsia" w:ascii="仿宋" w:hAnsi="仿宋" w:eastAsia="仿宋" w:cs="仿宋"/>
          <w:sz w:val="32"/>
          <w:szCs w:val="32"/>
        </w:rPr>
      </w:pPr>
      <w:r>
        <w:rPr>
          <w:rFonts w:hint="eastAsia" w:ascii="仿宋" w:hAnsi="仿宋" w:eastAsia="仿宋" w:cs="仿宋"/>
          <w:sz w:val="32"/>
          <w:szCs w:val="32"/>
        </w:rPr>
        <w:t>2023年</w:t>
      </w:r>
      <w:r>
        <w:rPr>
          <w:rFonts w:hint="eastAsia" w:ascii="仿宋" w:hAnsi="仿宋" w:eastAsia="仿宋" w:cs="仿宋"/>
          <w:sz w:val="32"/>
          <w:szCs w:val="32"/>
          <w:lang w:val="en-US" w:eastAsia="zh-CN"/>
        </w:rPr>
        <w:t>中心整体绩效自评为忧，自评分数为94.83分</w:t>
      </w:r>
      <w:r>
        <w:rPr>
          <w:rFonts w:hint="eastAsia" w:ascii="仿宋" w:hAnsi="仿宋" w:eastAsia="仿宋" w:cs="仿宋"/>
          <w:sz w:val="32"/>
          <w:szCs w:val="32"/>
        </w:rPr>
        <w:t>，广东海上</w:t>
      </w:r>
      <w:r>
        <w:rPr>
          <w:rFonts w:hint="eastAsia" w:ascii="仿宋" w:hAnsi="仿宋" w:eastAsia="仿宋" w:cs="仿宋"/>
          <w:sz w:val="32"/>
          <w:szCs w:val="32"/>
          <w:lang w:val="en-US" w:eastAsia="zh-CN"/>
        </w:rPr>
        <w:t>项目训练</w:t>
      </w:r>
      <w:r>
        <w:rPr>
          <w:rFonts w:hint="eastAsia" w:ascii="仿宋" w:hAnsi="仿宋" w:eastAsia="仿宋" w:cs="仿宋"/>
          <w:sz w:val="32"/>
          <w:szCs w:val="32"/>
        </w:rPr>
        <w:t>中心在体育局的领导和指导下</w:t>
      </w:r>
      <w:r>
        <w:rPr>
          <w:rFonts w:hint="eastAsia" w:ascii="仿宋" w:hAnsi="仿宋" w:eastAsia="仿宋" w:cs="仿宋"/>
          <w:sz w:val="32"/>
          <w:szCs w:val="32"/>
          <w:lang w:eastAsia="zh-CN"/>
        </w:rPr>
        <w:t>，</w:t>
      </w:r>
      <w:r>
        <w:rPr>
          <w:rFonts w:hint="eastAsia" w:ascii="仿宋" w:hAnsi="仿宋" w:eastAsia="仿宋" w:cs="仿宋"/>
          <w:sz w:val="32"/>
          <w:szCs w:val="32"/>
        </w:rPr>
        <w:t>坚持以习近平新时代中国特色社会主义思想为指导，深入贯彻党 的二十大精神和习近平总书记视察广东及关于体育的重要论述和 重要指示批示精神，按照党的基层组织工作条例要求，进一步加 强组织建设，加强党员思想作风教育，积极开展多种形式的组织 活动，充分发挥了党组织的战斗堡垒作用和共产党员的先锋模范 作用，推动了全中心工作的顺利开展，助力推进广东体育事业高 质量发展，2023年以来，在杭州亚运会上我中心运动员毕焜夺得 水翼帆板项目金牌，亚洲帆船锦标赛暨巴黎奥运会亚洲区资格赛 上我中心运动员麦汇聪/陈琳琳在混合诺卡拉17级双体船比赛中一举夺魁，均为中国队斩获奥运会参赛资格，圆满完成亚运年的比赛任务。</w:t>
      </w:r>
    </w:p>
    <w:p w14:paraId="49FE53D9">
      <w:pPr>
        <w:wordWrap w:val="0"/>
        <w:spacing w:line="359" w:lineRule="auto"/>
        <w:ind w:firstLine="840"/>
        <w:jc w:val="both"/>
        <w:rPr>
          <w:rFonts w:hint="eastAsia" w:ascii="仿宋" w:hAnsi="仿宋" w:eastAsia="仿宋" w:cs="仿宋"/>
          <w:sz w:val="32"/>
          <w:szCs w:val="32"/>
        </w:rPr>
      </w:pPr>
      <w:r>
        <w:rPr>
          <w:rFonts w:hint="eastAsia" w:ascii="仿宋" w:hAnsi="仿宋" w:eastAsia="仿宋" w:cs="仿宋"/>
          <w:b/>
          <w:color w:val="000000"/>
          <w:sz w:val="32"/>
          <w:szCs w:val="32"/>
        </w:rPr>
        <w:t>（二）履职效能分析</w:t>
      </w:r>
    </w:p>
    <w:p w14:paraId="2B671269">
      <w:pPr>
        <w:wordWrap w:val="0"/>
        <w:spacing w:line="326" w:lineRule="auto"/>
        <w:ind w:left="60" w:right="120" w:firstLine="660"/>
        <w:jc w:val="both"/>
        <w:rPr>
          <w:rFonts w:hint="eastAsia" w:ascii="仿宋" w:hAnsi="仿宋" w:eastAsia="仿宋" w:cs="仿宋"/>
          <w:color w:val="000000"/>
          <w:sz w:val="32"/>
          <w:szCs w:val="32"/>
        </w:rPr>
      </w:pPr>
      <w:r>
        <w:rPr>
          <w:rFonts w:hint="eastAsia" w:ascii="仿宋" w:hAnsi="仿宋" w:eastAsia="仿宋" w:cs="仿宋"/>
          <w:color w:val="000000"/>
          <w:sz w:val="32"/>
          <w:szCs w:val="32"/>
        </w:rPr>
        <w:t>结合部门职能与年度总体工作、重点工作任务反映部门整体绩效目标的产出和效益情况及部门预算支出情况，分析存在问题和改进方向。其中，有专项资金的部门还应就专项资金绩效完成情况和支出率进行分析。</w:t>
      </w:r>
    </w:p>
    <w:p w14:paraId="397EADBC">
      <w:pPr>
        <w:wordWrap w:val="0"/>
        <w:spacing w:line="239" w:lineRule="auto"/>
        <w:ind w:firstLine="720"/>
        <w:jc w:val="both"/>
        <w:rPr>
          <w:rFonts w:hint="eastAsia" w:ascii="仿宋" w:hAnsi="仿宋" w:eastAsia="仿宋" w:cs="仿宋"/>
          <w:color w:val="000000"/>
          <w:sz w:val="32"/>
          <w:szCs w:val="32"/>
        </w:rPr>
      </w:pPr>
      <w:r>
        <w:rPr>
          <w:rFonts w:hint="eastAsia" w:ascii="仿宋" w:hAnsi="仿宋" w:eastAsia="仿宋" w:cs="仿宋"/>
          <w:color w:val="000000"/>
          <w:sz w:val="32"/>
          <w:szCs w:val="32"/>
        </w:rPr>
        <w:t>履职效能总分50分，自评得分为47.</w:t>
      </w:r>
      <w:r>
        <w:rPr>
          <w:rFonts w:hint="eastAsia" w:ascii="仿宋" w:hAnsi="仿宋" w:eastAsia="仿宋" w:cs="仿宋"/>
          <w:color w:val="000000"/>
          <w:sz w:val="32"/>
          <w:szCs w:val="32"/>
          <w:lang w:val="en-US" w:eastAsia="zh-CN"/>
        </w:rPr>
        <w:t>53</w:t>
      </w:r>
      <w:r>
        <w:rPr>
          <w:rFonts w:hint="eastAsia" w:ascii="仿宋" w:hAnsi="仿宋" w:eastAsia="仿宋" w:cs="仿宋"/>
          <w:color w:val="000000"/>
          <w:sz w:val="32"/>
          <w:szCs w:val="32"/>
        </w:rPr>
        <w:t>分，具体情况如下：</w:t>
      </w:r>
    </w:p>
    <w:p w14:paraId="685DB36F">
      <w:pPr>
        <w:wordWrap w:val="0"/>
        <w:spacing w:line="239" w:lineRule="auto"/>
        <w:ind w:firstLine="720"/>
        <w:jc w:val="both"/>
        <w:rPr>
          <w:rFonts w:hint="eastAsia" w:ascii="仿宋" w:hAnsi="仿宋" w:eastAsia="仿宋" w:cs="仿宋"/>
          <w:color w:val="000000"/>
          <w:sz w:val="32"/>
          <w:szCs w:val="32"/>
        </w:rPr>
      </w:pPr>
      <w:r>
        <w:rPr>
          <w:rFonts w:hint="eastAsia" w:ascii="仿宋" w:hAnsi="仿宋" w:eastAsia="仿宋" w:cs="仿宋"/>
          <w:color w:val="000000"/>
          <w:sz w:val="32"/>
          <w:szCs w:val="32"/>
        </w:rPr>
        <w:t>1、整体效能25分，自评2</w:t>
      </w: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分</w:t>
      </w:r>
    </w:p>
    <w:p w14:paraId="2A4EA4B7">
      <w:pPr>
        <w:wordWrap w:val="0"/>
        <w:spacing w:line="316" w:lineRule="auto"/>
        <w:ind w:left="60" w:right="120" w:firstLine="820"/>
        <w:jc w:val="both"/>
        <w:rPr>
          <w:rFonts w:hint="eastAsia" w:ascii="仿宋" w:hAnsi="仿宋" w:eastAsia="仿宋" w:cs="仿宋"/>
          <w:color w:val="000000"/>
          <w:sz w:val="32"/>
          <w:szCs w:val="32"/>
        </w:rPr>
      </w:pPr>
      <w:r>
        <w:rPr>
          <w:rFonts w:hint="eastAsia" w:ascii="仿宋" w:hAnsi="仿宋" w:eastAsia="仿宋" w:cs="仿宋"/>
          <w:color w:val="000000"/>
          <w:sz w:val="32"/>
          <w:szCs w:val="32"/>
        </w:rPr>
        <w:t>（1）部门整体绩效目标产出指标完成情况分数为10分，自评得分为</w:t>
      </w:r>
      <w:r>
        <w:rPr>
          <w:rFonts w:hint="eastAsia" w:ascii="仿宋" w:hAnsi="仿宋" w:eastAsia="仿宋" w:cs="仿宋"/>
          <w:color w:val="000000"/>
          <w:sz w:val="32"/>
          <w:szCs w:val="32"/>
          <w:lang w:val="en-US" w:eastAsia="zh-CN"/>
        </w:rPr>
        <w:t>9.5</w:t>
      </w:r>
      <w:r>
        <w:rPr>
          <w:rFonts w:hint="eastAsia" w:ascii="仿宋" w:hAnsi="仿宋" w:eastAsia="仿宋" w:cs="仿宋"/>
          <w:color w:val="000000"/>
          <w:sz w:val="32"/>
          <w:szCs w:val="32"/>
        </w:rPr>
        <w:t>分，中心绩效目标产出指标综合平均完成95%</w:t>
      </w:r>
    </w:p>
    <w:p w14:paraId="40C8F1A8">
      <w:pPr>
        <w:wordWrap w:val="0"/>
        <w:spacing w:line="316" w:lineRule="auto"/>
        <w:ind w:left="60" w:right="140" w:firstLine="820"/>
        <w:jc w:val="both"/>
        <w:rPr>
          <w:rFonts w:hint="eastAsia" w:ascii="仿宋" w:hAnsi="仿宋" w:eastAsia="仿宋" w:cs="仿宋"/>
          <w:sz w:val="32"/>
          <w:szCs w:val="32"/>
        </w:rPr>
      </w:pPr>
      <w:r>
        <w:rPr>
          <w:rFonts w:hint="eastAsia" w:ascii="仿宋" w:hAnsi="仿宋" w:eastAsia="仿宋" w:cs="仿宋"/>
          <w:color w:val="000000"/>
          <w:sz w:val="32"/>
          <w:szCs w:val="32"/>
        </w:rPr>
        <w:t>（2）部门整体绩效目标效益指标完成情况分数为10分，自评得分为</w:t>
      </w:r>
      <w:r>
        <w:rPr>
          <w:rFonts w:hint="eastAsia" w:ascii="仿宋" w:hAnsi="仿宋" w:eastAsia="仿宋" w:cs="仿宋"/>
          <w:color w:val="000000"/>
          <w:sz w:val="32"/>
          <w:szCs w:val="32"/>
          <w:lang w:val="en-US" w:eastAsia="zh-CN"/>
        </w:rPr>
        <w:t>9.5</w:t>
      </w:r>
      <w:r>
        <w:rPr>
          <w:rFonts w:hint="eastAsia" w:ascii="仿宋" w:hAnsi="仿宋" w:eastAsia="仿宋" w:cs="仿宋"/>
          <w:color w:val="000000"/>
          <w:sz w:val="32"/>
          <w:szCs w:val="32"/>
        </w:rPr>
        <w:t>分，中心绩效目标效益指标表综合平均完成95%，，非量化指标评定为优。</w:t>
      </w:r>
    </w:p>
    <w:p w14:paraId="4935470D">
      <w:pPr>
        <w:wordWrap w:val="0"/>
        <w:spacing w:line="240" w:lineRule="auto"/>
        <w:ind w:firstLine="0"/>
        <w:jc w:val="both"/>
        <w:rPr>
          <w:rFonts w:hint="eastAsia" w:ascii="仿宋" w:hAnsi="仿宋" w:eastAsia="仿宋" w:cs="仿宋"/>
          <w:color w:val="000000"/>
          <w:sz w:val="32"/>
          <w:szCs w:val="32"/>
        </w:rPr>
      </w:pPr>
    </w:p>
    <w:p w14:paraId="213023AE">
      <w:pPr>
        <w:wordWrap w:val="0"/>
        <w:spacing w:line="316" w:lineRule="auto"/>
        <w:ind w:left="20" w:right="140" w:firstLine="840"/>
        <w:jc w:val="both"/>
        <w:rPr>
          <w:rFonts w:hint="eastAsia" w:ascii="仿宋" w:hAnsi="仿宋" w:eastAsia="仿宋" w:cs="仿宋"/>
          <w:sz w:val="32"/>
          <w:szCs w:val="32"/>
        </w:rPr>
      </w:pPr>
      <w:r>
        <w:rPr>
          <w:rFonts w:hint="eastAsia" w:ascii="仿宋" w:hAnsi="仿宋" w:eastAsia="仿宋" w:cs="仿宋"/>
          <w:color w:val="000000"/>
          <w:sz w:val="32"/>
          <w:szCs w:val="32"/>
        </w:rPr>
        <w:t>（3）部门预算资金支出率分数为5分，自评得分为</w:t>
      </w:r>
      <w:r>
        <w:rPr>
          <w:rFonts w:hint="eastAsia" w:ascii="仿宋" w:hAnsi="仿宋" w:eastAsia="仿宋" w:cs="仿宋"/>
          <w:color w:val="000000"/>
          <w:sz w:val="32"/>
          <w:szCs w:val="32"/>
          <w:lang w:val="en-US" w:eastAsia="zh-CN"/>
        </w:rPr>
        <w:t>5</w:t>
      </w:r>
      <w:r>
        <w:rPr>
          <w:rFonts w:hint="eastAsia" w:ascii="仿宋" w:hAnsi="仿宋" w:eastAsia="仿宋" w:cs="仿宋"/>
          <w:color w:val="000000"/>
          <w:sz w:val="32"/>
          <w:szCs w:val="32"/>
        </w:rPr>
        <w:t>分，</w:t>
      </w:r>
      <w:r>
        <w:rPr>
          <w:rFonts w:hint="eastAsia" w:ascii="仿宋" w:hAnsi="仿宋" w:eastAsia="仿宋" w:cs="仿宋"/>
          <w:color w:val="000000"/>
          <w:sz w:val="32"/>
          <w:szCs w:val="32"/>
          <w:lang w:val="en-US" w:eastAsia="zh-CN"/>
        </w:rPr>
        <w:t>海上</w:t>
      </w:r>
      <w:r>
        <w:rPr>
          <w:rFonts w:hint="eastAsia" w:ascii="仿宋" w:hAnsi="仿宋" w:eastAsia="仿宋" w:cs="仿宋"/>
          <w:color w:val="000000"/>
          <w:sz w:val="32"/>
          <w:szCs w:val="32"/>
        </w:rPr>
        <w:t>中心2023年底支出进度为</w:t>
      </w:r>
      <w:r>
        <w:rPr>
          <w:rFonts w:hint="eastAsia" w:ascii="仿宋" w:hAnsi="仿宋" w:eastAsia="仿宋" w:cs="仿宋"/>
          <w:color w:val="000000"/>
          <w:sz w:val="32"/>
          <w:szCs w:val="32"/>
          <w:lang w:val="en-US" w:eastAsia="zh-CN"/>
        </w:rPr>
        <w:t>94.25</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平均</w:t>
      </w:r>
      <w:r>
        <w:rPr>
          <w:rFonts w:hint="eastAsia" w:ascii="仿宋" w:hAnsi="仿宋" w:eastAsia="仿宋" w:cs="仿宋"/>
          <w:color w:val="000000"/>
          <w:sz w:val="32"/>
          <w:szCs w:val="32"/>
        </w:rPr>
        <w:t>支出进度＞＝62.5％的，得</w:t>
      </w:r>
      <w:r>
        <w:rPr>
          <w:rFonts w:hint="eastAsia" w:ascii="仿宋" w:hAnsi="仿宋" w:eastAsia="仿宋" w:cs="仿宋"/>
          <w:color w:val="000000"/>
          <w:sz w:val="32"/>
          <w:szCs w:val="32"/>
          <w:lang w:val="en-US" w:eastAsia="zh-CN"/>
        </w:rPr>
        <w:t>满</w:t>
      </w:r>
      <w:r>
        <w:rPr>
          <w:rFonts w:hint="eastAsia" w:ascii="仿宋" w:hAnsi="仿宋" w:eastAsia="仿宋" w:cs="仿宋"/>
          <w:color w:val="000000"/>
          <w:sz w:val="32"/>
          <w:szCs w:val="32"/>
        </w:rPr>
        <w:t>分。</w:t>
      </w:r>
    </w:p>
    <w:p w14:paraId="1D5F8BBF">
      <w:pPr>
        <w:wordWrap w:val="0"/>
        <w:spacing w:before="4" w:line="359" w:lineRule="auto"/>
        <w:ind w:firstLine="680"/>
        <w:jc w:val="both"/>
        <w:rPr>
          <w:rFonts w:hint="eastAsia" w:ascii="仿宋" w:hAnsi="仿宋" w:eastAsia="仿宋" w:cs="仿宋"/>
          <w:sz w:val="32"/>
          <w:szCs w:val="32"/>
        </w:rPr>
        <w:sectPr>
          <w:footerReference r:id="rId8" w:type="default"/>
          <w:type w:val="continuous"/>
          <w:pgSz w:w="11900" w:h="16820"/>
          <w:pgMar w:top="1680" w:right="1200" w:bottom="1200" w:left="1200" w:header="840" w:footer="600" w:gutter="0"/>
          <w:cols w:space="720" w:num="1"/>
        </w:sectPr>
      </w:pPr>
      <w:r>
        <w:rPr>
          <w:rFonts w:hint="eastAsia" w:ascii="仿宋" w:hAnsi="仿宋" w:eastAsia="仿宋" w:cs="仿宋"/>
          <w:color w:val="000000"/>
          <w:sz w:val="32"/>
          <w:szCs w:val="32"/>
        </w:rPr>
        <w:t>2、专项效能25分，自评2</w:t>
      </w:r>
      <w:r>
        <w:rPr>
          <w:rFonts w:hint="eastAsia" w:ascii="仿宋" w:hAnsi="仿宋" w:eastAsia="仿宋" w:cs="仿宋"/>
          <w:color w:val="000000"/>
          <w:sz w:val="32"/>
          <w:szCs w:val="32"/>
          <w:lang w:val="en-US" w:eastAsia="zh-CN"/>
        </w:rPr>
        <w:t>3.53</w:t>
      </w:r>
      <w:r>
        <w:rPr>
          <w:rFonts w:hint="eastAsia" w:ascii="仿宋" w:hAnsi="仿宋" w:eastAsia="仿宋" w:cs="仿宋"/>
          <w:color w:val="000000"/>
          <w:sz w:val="32"/>
          <w:szCs w:val="32"/>
        </w:rPr>
        <w:t>分</w:t>
      </w:r>
    </w:p>
    <w:p w14:paraId="305A0918">
      <w:pPr>
        <w:wordWrap w:val="0"/>
        <w:spacing w:line="239" w:lineRule="auto"/>
        <w:ind w:left="20" w:right="160" w:firstLine="820"/>
        <w:jc w:val="both"/>
        <w:rPr>
          <w:rFonts w:hint="eastAsia" w:ascii="仿宋" w:hAnsi="仿宋" w:eastAsia="仿宋" w:cs="仿宋"/>
          <w:sz w:val="32"/>
          <w:szCs w:val="32"/>
        </w:rPr>
      </w:pPr>
      <w:r>
        <w:rPr>
          <w:rFonts w:hint="eastAsia" w:ascii="仿宋" w:hAnsi="仿宋" w:eastAsia="仿宋" w:cs="仿宋"/>
          <w:color w:val="000000"/>
          <w:sz w:val="32"/>
          <w:szCs w:val="32"/>
        </w:rPr>
        <w:t>（1）专项资金绩效完成情况分数为20分，自评得分为</w:t>
      </w:r>
      <w:r>
        <w:rPr>
          <w:rFonts w:hint="eastAsia" w:ascii="仿宋" w:hAnsi="仿宋" w:eastAsia="仿宋" w:cs="仿宋"/>
          <w:color w:val="000000"/>
          <w:sz w:val="32"/>
          <w:szCs w:val="32"/>
          <w:lang w:val="en-US" w:eastAsia="zh-CN"/>
        </w:rPr>
        <w:t>18.53</w:t>
      </w:r>
      <w:r>
        <w:rPr>
          <w:rFonts w:hint="eastAsia" w:ascii="仿宋" w:hAnsi="仿宋" w:eastAsia="仿宋" w:cs="仿宋"/>
          <w:color w:val="000000"/>
          <w:sz w:val="32"/>
          <w:szCs w:val="32"/>
        </w:rPr>
        <w:t>分，根据评分标准，各专项资金得分</w:t>
      </w:r>
      <w:r>
        <w:rPr>
          <w:rFonts w:hint="eastAsia" w:ascii="仿宋" w:hAnsi="仿宋" w:eastAsia="仿宋" w:cs="仿宋"/>
          <w:color w:val="000000"/>
          <w:sz w:val="32"/>
          <w:szCs w:val="32"/>
          <w:lang w:val="en-US" w:eastAsia="zh-CN"/>
        </w:rPr>
        <w:t>18.53</w:t>
      </w:r>
      <w:r>
        <w:rPr>
          <w:rFonts w:hint="eastAsia" w:ascii="仿宋" w:hAnsi="仿宋" w:eastAsia="仿宋" w:cs="仿宋"/>
          <w:color w:val="000000"/>
          <w:sz w:val="32"/>
          <w:szCs w:val="32"/>
        </w:rPr>
        <w:t>分。</w:t>
      </w:r>
    </w:p>
    <w:p w14:paraId="5AF13A81">
      <w:pPr>
        <w:wordWrap w:val="0"/>
        <w:spacing w:line="359" w:lineRule="auto"/>
        <w:ind w:left="20" w:right="160" w:firstLine="820"/>
        <w:jc w:val="both"/>
        <w:rPr>
          <w:rFonts w:hint="eastAsia" w:ascii="仿宋" w:hAnsi="仿宋" w:eastAsia="仿宋" w:cs="仿宋"/>
          <w:sz w:val="32"/>
          <w:szCs w:val="32"/>
        </w:rPr>
      </w:pPr>
      <w:r>
        <w:rPr>
          <w:rFonts w:hint="eastAsia" w:ascii="仿宋" w:hAnsi="仿宋" w:eastAsia="仿宋" w:cs="仿宋"/>
          <w:color w:val="000000"/>
          <w:sz w:val="32"/>
          <w:szCs w:val="32"/>
        </w:rPr>
        <w:t>（2）部门主管转移资金支出率分数为5分，自评得分为5分。</w:t>
      </w:r>
    </w:p>
    <w:p w14:paraId="006EDFEF">
      <w:pPr>
        <w:keepNext w:val="0"/>
        <w:keepLines w:val="0"/>
        <w:pageBreakBefore w:val="0"/>
        <w:widowControl w:val="0"/>
        <w:pBdr>
          <w:bottom w:val="none" w:color="auto" w:sz="0" w:space="31"/>
        </w:pBdr>
        <w:kinsoku/>
        <w:overflowPunct/>
        <w:topLinePunct w:val="0"/>
        <w:autoSpaceDE/>
        <w:autoSpaceDN w:val="0"/>
        <w:bidi w:val="0"/>
        <w:adjustRightInd w:val="0"/>
        <w:snapToGrid w:val="0"/>
        <w:spacing w:line="60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sz w:val="32"/>
          <w:szCs w:val="32"/>
        </w:rPr>
        <w:t>2023年，</w:t>
      </w:r>
      <w:r>
        <w:rPr>
          <w:rFonts w:hint="eastAsia" w:ascii="仿宋" w:hAnsi="仿宋" w:eastAsia="仿宋" w:cs="仿宋"/>
          <w:sz w:val="32"/>
          <w:szCs w:val="32"/>
          <w:lang w:val="en-US" w:eastAsia="zh-CN"/>
        </w:rPr>
        <w:t>海上中心</w:t>
      </w:r>
      <w:r>
        <w:rPr>
          <w:rFonts w:hint="eastAsia" w:ascii="仿宋" w:hAnsi="仿宋" w:eastAsia="仿宋" w:cs="仿宋"/>
          <w:b w:val="0"/>
          <w:bCs w:val="0"/>
          <w:sz w:val="32"/>
          <w:szCs w:val="32"/>
          <w:lang w:val="en-US" w:eastAsia="zh-CN"/>
        </w:rPr>
        <w:t>在省局的领导和指导下，</w:t>
      </w:r>
      <w:r>
        <w:rPr>
          <w:rFonts w:hint="eastAsia" w:ascii="仿宋" w:hAnsi="仿宋" w:eastAsia="仿宋" w:cs="仿宋"/>
          <w:sz w:val="32"/>
          <w:szCs w:val="32"/>
        </w:rPr>
        <w:t>坚持以习近平新时代中国特色社会主义思想为指导，深入贯彻党的二十大精神和习近平总书记视察广东及关于体育的重要</w:t>
      </w:r>
      <w:r>
        <w:rPr>
          <w:rFonts w:hint="eastAsia" w:ascii="仿宋" w:hAnsi="仿宋" w:eastAsia="仿宋" w:cs="仿宋"/>
          <w:color w:val="000000"/>
          <w:sz w:val="32"/>
          <w:szCs w:val="32"/>
        </w:rPr>
        <w:t>论述</w:t>
      </w:r>
      <w:r>
        <w:rPr>
          <w:rFonts w:hint="eastAsia" w:ascii="仿宋" w:hAnsi="仿宋" w:eastAsia="仿宋" w:cs="仿宋"/>
          <w:sz w:val="32"/>
          <w:szCs w:val="32"/>
        </w:rPr>
        <w:t>和重要指示批示精神，</w:t>
      </w:r>
      <w:r>
        <w:rPr>
          <w:rFonts w:hint="eastAsia" w:ascii="仿宋" w:hAnsi="仿宋" w:eastAsia="仿宋" w:cs="仿宋"/>
          <w:b w:val="0"/>
          <w:bCs w:val="0"/>
          <w:sz w:val="32"/>
          <w:szCs w:val="32"/>
          <w:lang w:val="en-US" w:eastAsia="zh-CN"/>
        </w:rPr>
        <w:t>按照党的基层组织工作条例要求，进一步加强组织建设，加强党员思想作风教育，积极开展多种形式的组织活动，充分发挥了党组织的战斗堡垒作用和共产党员的先锋模范作用，推动了全中心工作的顺利开展</w:t>
      </w:r>
      <w:r>
        <w:rPr>
          <w:rFonts w:hint="eastAsia" w:ascii="仿宋" w:hAnsi="仿宋" w:eastAsia="仿宋" w:cs="仿宋"/>
          <w:sz w:val="32"/>
          <w:szCs w:val="32"/>
        </w:rPr>
        <w:t>，</w:t>
      </w:r>
      <w:r>
        <w:rPr>
          <w:rFonts w:hint="eastAsia" w:ascii="仿宋" w:hAnsi="仿宋" w:eastAsia="仿宋" w:cs="仿宋"/>
          <w:sz w:val="32"/>
          <w:szCs w:val="32"/>
          <w:lang w:val="en-US" w:eastAsia="zh-CN"/>
        </w:rPr>
        <w:t>助力</w:t>
      </w:r>
      <w:r>
        <w:rPr>
          <w:rFonts w:hint="eastAsia" w:ascii="仿宋" w:hAnsi="仿宋" w:eastAsia="仿宋" w:cs="仿宋"/>
          <w:sz w:val="32"/>
          <w:szCs w:val="32"/>
        </w:rPr>
        <w:t>推进广东体育事业高质量发展。</w:t>
      </w:r>
    </w:p>
    <w:p w14:paraId="6959D4D1">
      <w:pPr>
        <w:keepNext w:val="0"/>
        <w:keepLines w:val="0"/>
        <w:pageBreakBefore w:val="0"/>
        <w:widowControl w:val="0"/>
        <w:pBdr>
          <w:bottom w:val="none" w:color="auto" w:sz="0" w:space="31"/>
        </w:pBdr>
        <w:kinsoku/>
        <w:overflowPunct/>
        <w:topLinePunct w:val="0"/>
        <w:autoSpaceDE/>
        <w:autoSpaceDN w:val="0"/>
        <w:bidi w:val="0"/>
        <w:adjustRightInd w:val="0"/>
        <w:snapToGrid w:val="0"/>
        <w:spacing w:line="6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000000"/>
          <w:sz w:val="32"/>
          <w:szCs w:val="32"/>
        </w:rPr>
        <w:t>专项资金方</w:t>
      </w:r>
      <w:r>
        <w:rPr>
          <w:rFonts w:hint="eastAsia" w:ascii="仿宋" w:hAnsi="仿宋" w:eastAsia="仿宋" w:cs="仿宋"/>
          <w:b w:val="0"/>
          <w:bCs w:val="0"/>
          <w:color w:val="000000"/>
          <w:sz w:val="32"/>
          <w:szCs w:val="32"/>
        </w:rPr>
        <w:t>面，</w:t>
      </w:r>
      <w:r>
        <w:rPr>
          <w:rFonts w:hint="eastAsia" w:ascii="仿宋" w:hAnsi="仿宋" w:eastAsia="仿宋" w:cs="仿宋"/>
          <w:b w:val="0"/>
          <w:bCs w:val="0"/>
          <w:color w:val="000000"/>
          <w:sz w:val="32"/>
          <w:szCs w:val="32"/>
          <w:lang w:val="en-US" w:eastAsia="zh-CN"/>
        </w:rPr>
        <w:t>一</w:t>
      </w:r>
      <w:r>
        <w:rPr>
          <w:rFonts w:hint="eastAsia" w:ascii="仿宋" w:hAnsi="仿宋" w:eastAsia="仿宋" w:cs="仿宋"/>
          <w:b w:val="0"/>
          <w:bCs w:val="0"/>
          <w:color w:val="000000"/>
          <w:sz w:val="32"/>
          <w:szCs w:val="32"/>
          <w:highlight w:val="none"/>
        </w:rPr>
        <w:t>是精心组织做好年度参赛工作。</w:t>
      </w:r>
      <w:r>
        <w:rPr>
          <w:rFonts w:hint="eastAsia" w:ascii="仿宋" w:hAnsi="仿宋" w:eastAsia="仿宋" w:cs="仿宋"/>
          <w:sz w:val="32"/>
          <w:szCs w:val="32"/>
          <w:highlight w:val="none"/>
        </w:rPr>
        <w:t>2023年</w:t>
      </w:r>
      <w:r>
        <w:rPr>
          <w:rFonts w:hint="eastAsia" w:ascii="仿宋" w:hAnsi="仿宋" w:eastAsia="仿宋" w:cs="仿宋"/>
          <w:sz w:val="32"/>
          <w:szCs w:val="32"/>
          <w:highlight w:val="none"/>
          <w:lang w:val="en-US" w:eastAsia="zh-CN"/>
        </w:rPr>
        <w:t>以来</w:t>
      </w:r>
      <w:r>
        <w:rPr>
          <w:rFonts w:hint="eastAsia" w:ascii="仿宋" w:hAnsi="仿宋" w:eastAsia="仿宋" w:cs="仿宋"/>
          <w:sz w:val="32"/>
          <w:szCs w:val="32"/>
          <w:highlight w:val="none"/>
        </w:rPr>
        <w:t>，我中心运动员分别参加国内全国性比赛18场，共获得29个冠军，27个亚军，36个季军，参加国际赛事共12场，获得3个冠军，1个亚军的成绩。</w:t>
      </w:r>
      <w:r>
        <w:rPr>
          <w:rFonts w:hint="eastAsia" w:ascii="仿宋" w:hAnsi="仿宋" w:eastAsia="仿宋" w:cs="仿宋"/>
          <w:sz w:val="32"/>
          <w:szCs w:val="32"/>
          <w:highlight w:val="none"/>
          <w:lang w:val="en-US" w:eastAsia="zh-CN"/>
        </w:rPr>
        <w:t>其中在</w:t>
      </w:r>
      <w:r>
        <w:rPr>
          <w:rFonts w:hint="eastAsia" w:ascii="仿宋" w:hAnsi="仿宋" w:eastAsia="仿宋" w:cs="仿宋"/>
          <w:sz w:val="32"/>
          <w:szCs w:val="32"/>
          <w:highlight w:val="none"/>
        </w:rPr>
        <w:t>杭州亚运会</w:t>
      </w:r>
      <w:r>
        <w:rPr>
          <w:rFonts w:hint="eastAsia" w:ascii="仿宋" w:hAnsi="仿宋" w:eastAsia="仿宋" w:cs="仿宋"/>
          <w:sz w:val="32"/>
          <w:szCs w:val="32"/>
          <w:highlight w:val="none"/>
          <w:lang w:val="en-US" w:eastAsia="zh-CN"/>
        </w:rPr>
        <w:t>上</w:t>
      </w:r>
      <w:r>
        <w:rPr>
          <w:rFonts w:hint="eastAsia" w:ascii="仿宋" w:hAnsi="仿宋" w:eastAsia="仿宋" w:cs="仿宋"/>
          <w:sz w:val="32"/>
          <w:szCs w:val="32"/>
          <w:highlight w:val="none"/>
        </w:rPr>
        <w:t>我</w:t>
      </w:r>
      <w:r>
        <w:rPr>
          <w:rFonts w:hint="eastAsia" w:ascii="仿宋" w:hAnsi="仿宋" w:eastAsia="仿宋" w:cs="仿宋"/>
          <w:sz w:val="32"/>
          <w:szCs w:val="32"/>
          <w:highlight w:val="none"/>
          <w:lang w:val="en-US" w:eastAsia="zh-CN"/>
        </w:rPr>
        <w:t>中心</w:t>
      </w:r>
      <w:r>
        <w:rPr>
          <w:rFonts w:hint="eastAsia" w:ascii="仿宋" w:hAnsi="仿宋" w:eastAsia="仿宋" w:cs="仿宋"/>
          <w:sz w:val="32"/>
          <w:szCs w:val="32"/>
          <w:highlight w:val="none"/>
        </w:rPr>
        <w:t>运动员</w:t>
      </w:r>
      <w:r>
        <w:rPr>
          <w:rFonts w:hint="eastAsia" w:ascii="仿宋" w:hAnsi="仿宋" w:eastAsia="仿宋" w:cs="仿宋"/>
          <w:sz w:val="32"/>
          <w:szCs w:val="32"/>
          <w:highlight w:val="none"/>
          <w:lang w:val="en-US" w:eastAsia="zh-CN"/>
        </w:rPr>
        <w:t>毕焜</w:t>
      </w:r>
      <w:r>
        <w:rPr>
          <w:rFonts w:hint="eastAsia" w:ascii="仿宋" w:hAnsi="仿宋" w:eastAsia="仿宋" w:cs="仿宋"/>
          <w:sz w:val="32"/>
          <w:szCs w:val="32"/>
          <w:highlight w:val="none"/>
        </w:rPr>
        <w:t>夺</w:t>
      </w:r>
      <w:r>
        <w:rPr>
          <w:rFonts w:hint="eastAsia" w:ascii="仿宋" w:hAnsi="仿宋" w:eastAsia="仿宋" w:cs="仿宋"/>
          <w:sz w:val="32"/>
          <w:szCs w:val="32"/>
          <w:highlight w:val="none"/>
          <w:lang w:val="en-US" w:eastAsia="zh-CN"/>
        </w:rPr>
        <w:t>得水翼帆板项目</w:t>
      </w:r>
      <w:r>
        <w:rPr>
          <w:rFonts w:hint="eastAsia" w:ascii="仿宋" w:hAnsi="仿宋" w:eastAsia="仿宋" w:cs="仿宋"/>
          <w:sz w:val="32"/>
          <w:szCs w:val="32"/>
          <w:highlight w:val="none"/>
        </w:rPr>
        <w:t>金牌</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亚洲帆船锦标赛暨巴黎奥运会亚洲区资格赛</w:t>
      </w:r>
      <w:r>
        <w:rPr>
          <w:rFonts w:hint="eastAsia" w:ascii="仿宋" w:hAnsi="仿宋" w:eastAsia="仿宋" w:cs="仿宋"/>
          <w:sz w:val="32"/>
          <w:szCs w:val="32"/>
          <w:highlight w:val="none"/>
          <w:lang w:val="en-US" w:eastAsia="zh-CN"/>
        </w:rPr>
        <w:t>上</w:t>
      </w:r>
      <w:r>
        <w:rPr>
          <w:rFonts w:hint="eastAsia" w:ascii="仿宋" w:hAnsi="仿宋" w:eastAsia="仿宋" w:cs="仿宋"/>
          <w:sz w:val="32"/>
          <w:szCs w:val="32"/>
          <w:highlight w:val="none"/>
        </w:rPr>
        <w:t>我</w:t>
      </w:r>
      <w:r>
        <w:rPr>
          <w:rFonts w:hint="eastAsia" w:ascii="仿宋" w:hAnsi="仿宋" w:eastAsia="仿宋" w:cs="仿宋"/>
          <w:sz w:val="32"/>
          <w:szCs w:val="32"/>
          <w:highlight w:val="none"/>
          <w:lang w:val="en-US" w:eastAsia="zh-CN"/>
        </w:rPr>
        <w:t>中心</w:t>
      </w:r>
      <w:r>
        <w:rPr>
          <w:rFonts w:hint="eastAsia" w:ascii="仿宋" w:hAnsi="仿宋" w:eastAsia="仿宋" w:cs="仿宋"/>
          <w:sz w:val="32"/>
          <w:szCs w:val="32"/>
          <w:highlight w:val="none"/>
        </w:rPr>
        <w:t>运动员麦汇聪/陈琳琳</w:t>
      </w:r>
      <w:r>
        <w:rPr>
          <w:rFonts w:hint="eastAsia" w:ascii="仿宋" w:hAnsi="仿宋" w:eastAsia="仿宋" w:cs="仿宋"/>
          <w:sz w:val="32"/>
          <w:szCs w:val="32"/>
          <w:highlight w:val="none"/>
          <w:lang w:eastAsia="zh-CN"/>
        </w:rPr>
        <w:t>在</w:t>
      </w:r>
      <w:r>
        <w:rPr>
          <w:rFonts w:hint="eastAsia" w:ascii="仿宋" w:hAnsi="仿宋" w:eastAsia="仿宋" w:cs="仿宋"/>
          <w:sz w:val="32"/>
          <w:szCs w:val="32"/>
          <w:highlight w:val="none"/>
        </w:rPr>
        <w:t>混合诺卡拉17级双体船比赛中一举夺魁</w:t>
      </w:r>
      <w:r>
        <w:rPr>
          <w:rFonts w:hint="eastAsia" w:ascii="仿宋" w:hAnsi="仿宋" w:eastAsia="仿宋" w:cs="仿宋"/>
          <w:sz w:val="32"/>
          <w:szCs w:val="32"/>
          <w:highlight w:val="none"/>
          <w:lang w:eastAsia="zh-CN"/>
        </w:rPr>
        <w:t>，</w:t>
      </w:r>
      <w:r>
        <w:rPr>
          <w:rFonts w:hint="eastAsia" w:ascii="仿宋" w:hAnsi="仿宋" w:eastAsia="仿宋" w:cs="仿宋"/>
          <w:b w:val="0"/>
          <w:bCs w:val="0"/>
          <w:color w:val="auto"/>
          <w:kern w:val="0"/>
          <w:sz w:val="32"/>
          <w:szCs w:val="32"/>
          <w:highlight w:val="none"/>
          <w:lang w:val="en-US" w:eastAsia="zh-CN"/>
        </w:rPr>
        <w:t>均为中国队斩获</w:t>
      </w:r>
      <w:r>
        <w:rPr>
          <w:rFonts w:hint="eastAsia" w:ascii="仿宋" w:hAnsi="仿宋" w:eastAsia="仿宋" w:cs="仿宋"/>
          <w:sz w:val="32"/>
          <w:szCs w:val="32"/>
          <w:highlight w:val="none"/>
        </w:rPr>
        <w:t>奥运会参赛资格</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圆满完成亚运年的比赛任务</w:t>
      </w:r>
      <w:r>
        <w:rPr>
          <w:rFonts w:hint="eastAsia" w:ascii="仿宋" w:hAnsi="仿宋" w:eastAsia="仿宋" w:cs="仿宋"/>
          <w:b w:val="0"/>
          <w:bCs w:val="0"/>
          <w:color w:val="auto"/>
          <w:kern w:val="0"/>
          <w:sz w:val="32"/>
          <w:szCs w:val="32"/>
          <w:highlight w:val="none"/>
          <w:lang w:val="en-US" w:eastAsia="zh-CN"/>
        </w:rPr>
        <w:t>。</w:t>
      </w:r>
      <w:r>
        <w:rPr>
          <w:rFonts w:hint="eastAsia" w:ascii="仿宋" w:hAnsi="仿宋" w:eastAsia="仿宋" w:cs="仿宋"/>
          <w:b w:val="0"/>
          <w:bCs w:val="0"/>
          <w:sz w:val="32"/>
          <w:szCs w:val="32"/>
          <w:highlight w:val="none"/>
        </w:rPr>
        <w:t>二是扎实开展周期备战工作。明确备战目标任务和备战措施，基本形成</w:t>
      </w:r>
      <w:r>
        <w:rPr>
          <w:rFonts w:hint="eastAsia" w:ascii="仿宋" w:hAnsi="仿宋" w:eastAsia="仿宋" w:cs="仿宋"/>
          <w:sz w:val="32"/>
          <w:szCs w:val="32"/>
          <w:highlight w:val="none"/>
        </w:rPr>
        <w:t>以</w:t>
      </w:r>
      <w:r>
        <w:rPr>
          <w:rFonts w:hint="eastAsia" w:ascii="仿宋" w:hAnsi="仿宋" w:eastAsia="仿宋" w:cs="仿宋"/>
          <w:sz w:val="32"/>
          <w:szCs w:val="32"/>
          <w:highlight w:val="none"/>
          <w:lang w:val="en-US" w:eastAsia="zh-CN"/>
        </w:rPr>
        <w:t>广东海上项目</w:t>
      </w:r>
      <w:r>
        <w:rPr>
          <w:rFonts w:hint="eastAsia" w:ascii="仿宋" w:hAnsi="仿宋" w:eastAsia="仿宋" w:cs="仿宋"/>
          <w:sz w:val="32"/>
          <w:szCs w:val="32"/>
          <w:highlight w:val="none"/>
        </w:rPr>
        <w:t>训练中心为主体，以各</w:t>
      </w:r>
      <w:r>
        <w:rPr>
          <w:rFonts w:hint="eastAsia" w:ascii="仿宋" w:hAnsi="仿宋" w:eastAsia="仿宋" w:cs="仿宋"/>
          <w:sz w:val="32"/>
          <w:szCs w:val="32"/>
          <w:highlight w:val="none"/>
          <w:lang w:val="en-US" w:eastAsia="zh-CN"/>
        </w:rPr>
        <w:t>基层</w:t>
      </w:r>
      <w:r>
        <w:rPr>
          <w:rFonts w:hint="eastAsia" w:ascii="仿宋" w:hAnsi="仿宋" w:eastAsia="仿宋" w:cs="仿宋"/>
          <w:sz w:val="32"/>
          <w:szCs w:val="32"/>
          <w:highlight w:val="none"/>
        </w:rPr>
        <w:t>地市</w:t>
      </w:r>
      <w:r>
        <w:rPr>
          <w:rFonts w:hint="eastAsia" w:ascii="仿宋" w:hAnsi="仿宋" w:eastAsia="仿宋" w:cs="仿宋"/>
          <w:sz w:val="32"/>
          <w:szCs w:val="32"/>
          <w:highlight w:val="none"/>
          <w:lang w:val="en-US" w:eastAsia="zh-CN"/>
        </w:rPr>
        <w:t>项目</w:t>
      </w:r>
      <w:r>
        <w:rPr>
          <w:rFonts w:hint="eastAsia" w:ascii="仿宋" w:hAnsi="仿宋" w:eastAsia="仿宋" w:cs="仿宋"/>
          <w:sz w:val="32"/>
          <w:szCs w:val="32"/>
          <w:highlight w:val="none"/>
        </w:rPr>
        <w:t>为有力补充的备战构架</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2023年</w:t>
      </w:r>
      <w:r>
        <w:rPr>
          <w:rFonts w:hint="eastAsia" w:ascii="仿宋" w:hAnsi="仿宋" w:eastAsia="仿宋" w:cs="仿宋"/>
          <w:sz w:val="32"/>
          <w:szCs w:val="32"/>
          <w:lang w:val="en-US" w:eastAsia="zh-CN"/>
        </w:rPr>
        <w:t>9月举办了2022年度优秀运动员暨2023年度优秀运动员入队仪式</w:t>
      </w:r>
      <w:r>
        <w:rPr>
          <w:rFonts w:hint="eastAsia" w:ascii="仿宋" w:hAnsi="仿宋" w:eastAsia="仿宋" w:cs="仿宋"/>
          <w:sz w:val="32"/>
          <w:szCs w:val="32"/>
          <w:highlight w:val="none"/>
          <w:lang w:val="en-US" w:eastAsia="zh-CN"/>
        </w:rPr>
        <w:t>，共</w:t>
      </w:r>
      <w:r>
        <w:rPr>
          <w:rFonts w:hint="eastAsia" w:ascii="仿宋" w:hAnsi="仿宋" w:eastAsia="仿宋" w:cs="仿宋"/>
          <w:sz w:val="32"/>
          <w:szCs w:val="32"/>
          <w:lang w:val="en-US" w:eastAsia="zh-CN"/>
        </w:rPr>
        <w:t>呈报退役运动员2人，呈报转正运动员5人，招聘运动员5人</w:t>
      </w:r>
      <w:r>
        <w:rPr>
          <w:rFonts w:hint="eastAsia" w:ascii="仿宋" w:hAnsi="仿宋" w:eastAsia="仿宋" w:cs="仿宋"/>
          <w:sz w:val="32"/>
          <w:szCs w:val="32"/>
          <w:highlight w:val="none"/>
        </w:rPr>
        <w:t>，进一步</w:t>
      </w:r>
      <w:r>
        <w:rPr>
          <w:rFonts w:hint="eastAsia" w:ascii="仿宋" w:hAnsi="仿宋" w:eastAsia="仿宋" w:cs="仿宋"/>
          <w:sz w:val="32"/>
          <w:szCs w:val="32"/>
          <w:highlight w:val="none"/>
          <w:lang w:val="en-US" w:eastAsia="zh-CN"/>
        </w:rPr>
        <w:t>优化队伍架构，</w:t>
      </w:r>
      <w:r>
        <w:rPr>
          <w:rFonts w:hint="eastAsia" w:ascii="仿宋" w:hAnsi="仿宋" w:eastAsia="仿宋" w:cs="仿宋"/>
          <w:sz w:val="32"/>
          <w:szCs w:val="32"/>
          <w:highlight w:val="none"/>
        </w:rPr>
        <w:t>提升备战阵容实力</w:t>
      </w:r>
      <w:r>
        <w:rPr>
          <w:rFonts w:hint="eastAsia" w:ascii="仿宋" w:hAnsi="仿宋" w:eastAsia="仿宋" w:cs="仿宋"/>
          <w:sz w:val="32"/>
          <w:szCs w:val="32"/>
          <w:highlight w:val="none"/>
          <w:lang w:bidi="ar"/>
        </w:rPr>
        <w:t>。</w:t>
      </w:r>
      <w:r>
        <w:rPr>
          <w:rFonts w:hint="eastAsia" w:ascii="仿宋" w:hAnsi="仿宋" w:eastAsia="仿宋" w:cs="仿宋"/>
          <w:b w:val="0"/>
          <w:bCs w:val="0"/>
          <w:sz w:val="32"/>
          <w:szCs w:val="32"/>
          <w:highlight w:val="none"/>
          <w:lang w:bidi="ar"/>
        </w:rPr>
        <w:t>三是</w:t>
      </w:r>
      <w:r>
        <w:rPr>
          <w:rFonts w:hint="eastAsia" w:ascii="仿宋" w:hAnsi="仿宋" w:eastAsia="仿宋" w:cs="仿宋"/>
          <w:b w:val="0"/>
          <w:bCs w:val="0"/>
          <w:sz w:val="32"/>
          <w:szCs w:val="32"/>
          <w:highlight w:val="none"/>
          <w:lang w:eastAsia="zh-CN" w:bidi="ar"/>
        </w:rPr>
        <w:t>继</w:t>
      </w:r>
      <w:r>
        <w:rPr>
          <w:rFonts w:hint="eastAsia" w:ascii="仿宋" w:hAnsi="仿宋" w:eastAsia="仿宋" w:cs="仿宋"/>
          <w:b w:val="0"/>
          <w:bCs w:val="0"/>
          <w:sz w:val="32"/>
          <w:szCs w:val="32"/>
          <w:highlight w:val="none"/>
          <w:lang w:val="en-US" w:eastAsia="zh-CN" w:bidi="ar"/>
        </w:rPr>
        <w:t>承</w:t>
      </w:r>
      <w:r>
        <w:rPr>
          <w:rFonts w:hint="eastAsia" w:ascii="仿宋" w:hAnsi="仿宋" w:eastAsia="仿宋" w:cs="仿宋"/>
          <w:b w:val="0"/>
          <w:bCs w:val="0"/>
          <w:sz w:val="32"/>
          <w:szCs w:val="32"/>
          <w:highlight w:val="none"/>
          <w:lang w:eastAsia="zh-CN" w:bidi="ar"/>
        </w:rPr>
        <w:t>和发扬广东体育军团精神。</w:t>
      </w:r>
      <w:r>
        <w:rPr>
          <w:rFonts w:hint="eastAsia" w:ascii="仿宋" w:hAnsi="仿宋" w:eastAsia="仿宋" w:cs="仿宋"/>
          <w:b w:val="0"/>
          <w:bCs w:val="0"/>
          <w:sz w:val="32"/>
          <w:szCs w:val="32"/>
          <w:highlight w:val="none"/>
          <w:lang w:val="en-US" w:eastAsia="zh-CN" w:bidi="ar"/>
        </w:rPr>
        <w:t>深入学习贯彻</w:t>
      </w:r>
      <w:r>
        <w:rPr>
          <w:rFonts w:hint="eastAsia" w:ascii="仿宋" w:hAnsi="仿宋" w:eastAsia="仿宋" w:cs="仿宋"/>
          <w:color w:val="auto"/>
          <w:sz w:val="32"/>
          <w:szCs w:val="32"/>
          <w:highlight w:val="none"/>
        </w:rPr>
        <w:t>长期以来广东竞技体育的优良传统，</w:t>
      </w:r>
      <w:r>
        <w:rPr>
          <w:rFonts w:hint="eastAsia" w:ascii="仿宋" w:hAnsi="仿宋" w:eastAsia="仿宋" w:cs="仿宋"/>
          <w:color w:val="auto"/>
          <w:sz w:val="32"/>
          <w:szCs w:val="32"/>
          <w:highlight w:val="none"/>
          <w:lang w:val="en-US" w:eastAsia="zh-CN"/>
        </w:rPr>
        <w:t>从</w:t>
      </w:r>
      <w:r>
        <w:rPr>
          <w:rFonts w:hint="eastAsia" w:ascii="仿宋" w:hAnsi="仿宋" w:eastAsia="仿宋" w:cs="仿宋"/>
          <w:color w:val="auto"/>
          <w:sz w:val="32"/>
          <w:szCs w:val="32"/>
          <w:highlight w:val="none"/>
        </w:rPr>
        <w:t>“三水三命”忘我奉献精神、“敢于拼、善于战、勇于胜”</w:t>
      </w:r>
      <w:r>
        <w:rPr>
          <w:rFonts w:hint="eastAsia" w:ascii="仿宋" w:hAnsi="仿宋" w:eastAsia="仿宋" w:cs="仿宋"/>
          <w:color w:val="auto"/>
          <w:sz w:val="32"/>
          <w:szCs w:val="32"/>
          <w:highlight w:val="none"/>
          <w:lang w:eastAsia="zh-CN"/>
        </w:rPr>
        <w:t>顽强</w:t>
      </w:r>
      <w:r>
        <w:rPr>
          <w:rFonts w:hint="eastAsia" w:ascii="仿宋" w:hAnsi="仿宋" w:eastAsia="仿宋" w:cs="仿宋"/>
          <w:color w:val="auto"/>
          <w:sz w:val="32"/>
          <w:szCs w:val="32"/>
          <w:highlight w:val="none"/>
        </w:rPr>
        <w:t>拼搏精神</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到现在的</w:t>
      </w:r>
      <w:r>
        <w:rPr>
          <w:rFonts w:hint="eastAsia" w:ascii="仿宋" w:hAnsi="仿宋" w:eastAsia="仿宋" w:cs="仿宋"/>
          <w:color w:val="auto"/>
          <w:sz w:val="32"/>
          <w:szCs w:val="32"/>
          <w:highlight w:val="none"/>
        </w:rPr>
        <w:t>“三铁三硬”</w:t>
      </w:r>
      <w:r>
        <w:rPr>
          <w:rFonts w:hint="eastAsia" w:ascii="仿宋" w:hAnsi="仿宋" w:eastAsia="仿宋" w:cs="仿宋"/>
          <w:color w:val="auto"/>
          <w:sz w:val="32"/>
          <w:szCs w:val="32"/>
          <w:highlight w:val="none"/>
          <w:lang w:val="en-US" w:eastAsia="zh-CN"/>
        </w:rPr>
        <w:t>要求</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用过硬的思想铸就铁一般的意志，过硬的本领养成铁一般的作风，过硬的管理打造铁一般的军团，</w:t>
      </w:r>
      <w:r>
        <w:rPr>
          <w:rFonts w:hint="eastAsia" w:ascii="仿宋" w:hAnsi="仿宋" w:eastAsia="仿宋" w:cs="仿宋"/>
          <w:color w:val="auto"/>
          <w:sz w:val="32"/>
          <w:szCs w:val="32"/>
          <w:highlight w:val="none"/>
          <w:lang w:val="en-US" w:eastAsia="zh-CN"/>
        </w:rPr>
        <w:t>并结合项目特点提出我中心的“海上精神”风雨同舟、砥砺前行、劈波斩浪、独占鳌头</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展现南粤体育健儿的精气神</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四是</w:t>
      </w:r>
      <w:r>
        <w:rPr>
          <w:rFonts w:hint="eastAsia" w:ascii="仿宋" w:hAnsi="仿宋" w:eastAsia="仿宋" w:cs="仿宋"/>
          <w:b w:val="0"/>
          <w:bCs w:val="0"/>
          <w:color w:val="000000"/>
          <w:sz w:val="32"/>
          <w:szCs w:val="32"/>
          <w:highlight w:val="none"/>
          <w:lang w:eastAsia="zh-CN"/>
        </w:rPr>
        <w:t>着力抓十五运</w:t>
      </w:r>
      <w:r>
        <w:rPr>
          <w:rFonts w:hint="eastAsia" w:ascii="仿宋" w:hAnsi="仿宋" w:eastAsia="仿宋" w:cs="仿宋"/>
          <w:b w:val="0"/>
          <w:bCs w:val="0"/>
          <w:color w:val="000000"/>
          <w:sz w:val="32"/>
          <w:szCs w:val="32"/>
          <w:highlight w:val="none"/>
          <w:lang w:val="en-US" w:eastAsia="zh-CN"/>
        </w:rPr>
        <w:t>场馆建设，</w:t>
      </w:r>
      <w:r>
        <w:rPr>
          <w:rFonts w:hint="eastAsia" w:ascii="仿宋" w:hAnsi="仿宋" w:eastAsia="仿宋" w:cs="仿宋"/>
          <w:b w:val="0"/>
          <w:bCs w:val="0"/>
          <w:color w:val="000000"/>
          <w:sz w:val="32"/>
          <w:szCs w:val="32"/>
          <w:highlight w:val="none"/>
        </w:rPr>
        <w:t>促</w:t>
      </w:r>
      <w:r>
        <w:rPr>
          <w:rFonts w:hint="eastAsia" w:ascii="仿宋" w:hAnsi="仿宋" w:eastAsia="仿宋" w:cs="仿宋"/>
          <w:b w:val="0"/>
          <w:bCs w:val="0"/>
          <w:color w:val="000000"/>
          <w:sz w:val="32"/>
          <w:szCs w:val="32"/>
          <w:highlight w:val="none"/>
          <w:lang w:val="en-US" w:eastAsia="zh-CN"/>
        </w:rPr>
        <w:t>粤港澳</w:t>
      </w:r>
      <w:r>
        <w:rPr>
          <w:rFonts w:hint="eastAsia" w:ascii="仿宋" w:hAnsi="仿宋" w:eastAsia="仿宋" w:cs="仿宋"/>
          <w:b w:val="0"/>
          <w:bCs w:val="0"/>
          <w:color w:val="000000"/>
          <w:sz w:val="32"/>
          <w:szCs w:val="32"/>
          <w:highlight w:val="none"/>
        </w:rPr>
        <w:t>融合发展。</w:t>
      </w:r>
      <w:r>
        <w:rPr>
          <w:rFonts w:hint="eastAsia" w:ascii="仿宋" w:hAnsi="仿宋" w:eastAsia="仿宋" w:cs="仿宋"/>
          <w:b w:val="0"/>
          <w:bCs w:val="0"/>
          <w:sz w:val="32"/>
          <w:szCs w:val="32"/>
          <w:highlight w:val="none"/>
          <w:lang w:eastAsia="zh-CN"/>
        </w:rPr>
        <w:t>积极推动</w:t>
      </w:r>
      <w:r>
        <w:rPr>
          <w:rFonts w:hint="eastAsia" w:ascii="仿宋" w:hAnsi="仿宋" w:eastAsia="仿宋" w:cs="仿宋"/>
          <w:b w:val="0"/>
          <w:bCs w:val="0"/>
          <w:sz w:val="32"/>
          <w:szCs w:val="32"/>
          <w:highlight w:val="none"/>
          <w:lang w:val="en-US" w:eastAsia="zh-CN"/>
        </w:rPr>
        <w:t>十五运场馆建</w:t>
      </w:r>
      <w:r>
        <w:rPr>
          <w:rFonts w:hint="eastAsia" w:ascii="仿宋" w:hAnsi="仿宋" w:eastAsia="仿宋" w:cs="仿宋"/>
          <w:b w:val="0"/>
          <w:bCs w:val="0"/>
          <w:sz w:val="32"/>
          <w:szCs w:val="32"/>
          <w:highlight w:val="none"/>
          <w:lang w:val="en-US" w:eastAsia="zh-CN"/>
        </w:rPr>
        <w:t>设工作。</w:t>
      </w:r>
      <w:r>
        <w:rPr>
          <w:rFonts w:hint="eastAsia" w:ascii="仿宋" w:hAnsi="仿宋" w:eastAsia="仿宋" w:cs="仿宋"/>
          <w:sz w:val="32"/>
          <w:szCs w:val="32"/>
          <w:highlight w:val="none"/>
          <w:lang w:val="en-US" w:eastAsia="zh-CN"/>
        </w:rPr>
        <w:t>2025年第十五届全运会帆船赛将在我中心举办，</w:t>
      </w:r>
      <w:r>
        <w:rPr>
          <w:rFonts w:hint="eastAsia" w:ascii="仿宋" w:hAnsi="仿宋" w:eastAsia="仿宋" w:cs="仿宋"/>
          <w:color w:val="auto"/>
          <w:sz w:val="32"/>
          <w:szCs w:val="32"/>
          <w:highlight w:val="none"/>
          <w:u w:val="none" w:color="auto"/>
          <w:lang w:val="en-US" w:eastAsia="zh-CN"/>
        </w:rPr>
        <w:t>为满足赛事要求，顺利举办赛事，拟对中心场馆进行维修改造，</w:t>
      </w:r>
      <w:r>
        <w:rPr>
          <w:rFonts w:hint="eastAsia" w:ascii="仿宋" w:hAnsi="仿宋" w:eastAsia="仿宋" w:cs="仿宋"/>
          <w:color w:val="auto"/>
          <w:sz w:val="32"/>
          <w:szCs w:val="32"/>
          <w:highlight w:val="none"/>
          <w:lang w:val="en-US" w:eastAsia="zh-CN"/>
        </w:rPr>
        <w:t>其中包括防波堤修复工程、赛事接待中心、赛事运行中心、船库及冲水平台等项目维修改造以及相应的室外配套设施维修改造。</w:t>
      </w:r>
    </w:p>
    <w:p w14:paraId="16A70B22">
      <w:pPr>
        <w:keepNext w:val="0"/>
        <w:keepLines w:val="0"/>
        <w:pageBreakBefore w:val="0"/>
        <w:widowControl w:val="0"/>
        <w:numPr>
          <w:ilvl w:val="0"/>
          <w:numId w:val="2"/>
        </w:numPr>
        <w:pBdr>
          <w:bottom w:val="none" w:color="auto" w:sz="0" w:space="31"/>
        </w:pBdr>
        <w:kinsoku/>
        <w:overflowPunct/>
        <w:topLinePunct w:val="0"/>
        <w:autoSpaceDE/>
        <w:autoSpaceDN w:val="0"/>
        <w:bidi w:val="0"/>
        <w:adjustRightInd w:val="0"/>
        <w:snapToGrid w:val="0"/>
        <w:spacing w:line="600" w:lineRule="exact"/>
        <w:ind w:firstLine="643" w:firstLineChars="200"/>
        <w:textAlignment w:val="auto"/>
        <w:rPr>
          <w:rFonts w:hint="eastAsia" w:ascii="仿宋" w:hAnsi="仿宋" w:eastAsia="仿宋" w:cs="仿宋"/>
          <w:b/>
          <w:color w:val="000000"/>
          <w:sz w:val="32"/>
          <w:szCs w:val="32"/>
        </w:rPr>
      </w:pPr>
      <w:r>
        <w:rPr>
          <w:rFonts w:hint="eastAsia" w:ascii="仿宋" w:hAnsi="仿宋" w:eastAsia="仿宋" w:cs="仿宋"/>
          <w:b/>
          <w:color w:val="000000"/>
          <w:sz w:val="32"/>
          <w:szCs w:val="32"/>
        </w:rPr>
        <w:t>管理效率分析</w:t>
      </w:r>
    </w:p>
    <w:p w14:paraId="54558F47">
      <w:pPr>
        <w:keepNext w:val="0"/>
        <w:keepLines w:val="0"/>
        <w:pageBreakBefore w:val="0"/>
        <w:widowControl w:val="0"/>
        <w:numPr>
          <w:numId w:val="0"/>
        </w:numPr>
        <w:pBdr>
          <w:bottom w:val="none" w:color="auto" w:sz="0" w:space="31"/>
        </w:pBdr>
        <w:kinsoku/>
        <w:overflowPunct/>
        <w:topLinePunct w:val="0"/>
        <w:autoSpaceDE/>
        <w:autoSpaceDN w:val="0"/>
        <w:bidi w:val="0"/>
        <w:adjustRightInd w:val="0"/>
        <w:snapToGrid w:val="0"/>
        <w:spacing w:line="600" w:lineRule="exact"/>
        <w:ind w:firstLine="320" w:firstLineChars="1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管理效率总分50分，自评得分为48.</w:t>
      </w:r>
      <w:r>
        <w:rPr>
          <w:rFonts w:hint="eastAsia" w:ascii="仿宋" w:hAnsi="仿宋" w:eastAsia="仿宋" w:cs="仿宋"/>
          <w:color w:val="000000"/>
          <w:sz w:val="32"/>
          <w:szCs w:val="32"/>
          <w:lang w:val="en-US" w:eastAsia="zh-CN"/>
        </w:rPr>
        <w:t>7</w:t>
      </w:r>
      <w:r>
        <w:rPr>
          <w:rFonts w:hint="eastAsia" w:ascii="仿宋" w:hAnsi="仿宋" w:eastAsia="仿宋" w:cs="仿宋"/>
          <w:color w:val="000000"/>
          <w:sz w:val="32"/>
          <w:szCs w:val="32"/>
        </w:rPr>
        <w:t>2分，具体情况如下：</w:t>
      </w:r>
    </w:p>
    <w:p w14:paraId="25002DC1">
      <w:pPr>
        <w:keepNext w:val="0"/>
        <w:keepLines w:val="0"/>
        <w:pageBreakBefore w:val="0"/>
        <w:widowControl w:val="0"/>
        <w:numPr>
          <w:numId w:val="0"/>
        </w:numPr>
        <w:pBdr>
          <w:bottom w:val="none" w:color="auto" w:sz="0" w:space="31"/>
        </w:pBdr>
        <w:kinsoku/>
        <w:overflowPunct/>
        <w:topLinePunct w:val="0"/>
        <w:autoSpaceDE/>
        <w:autoSpaceDN w:val="0"/>
        <w:bidi w:val="0"/>
        <w:adjustRightInd w:val="0"/>
        <w:snapToGrid w:val="0"/>
        <w:spacing w:line="600" w:lineRule="exact"/>
        <w:ind w:firstLine="320" w:firstLineChars="100"/>
        <w:textAlignment w:val="auto"/>
        <w:rPr>
          <w:rFonts w:hint="eastAsia" w:ascii="仿宋" w:hAnsi="仿宋" w:eastAsia="仿宋" w:cs="仿宋"/>
          <w:sz w:val="32"/>
          <w:szCs w:val="32"/>
        </w:rPr>
        <w:sectPr>
          <w:footerReference r:id="rId9" w:type="default"/>
          <w:type w:val="continuous"/>
          <w:pgSz w:w="11900" w:h="16820"/>
          <w:pgMar w:top="1680" w:right="1200" w:bottom="1200" w:left="1200" w:header="840" w:footer="600" w:gutter="0"/>
          <w:cols w:space="720" w:num="1"/>
        </w:sectPr>
      </w:pPr>
      <w:bookmarkStart w:id="0" w:name="_GoBack"/>
      <w:bookmarkEnd w:id="0"/>
      <w:r>
        <w:rPr>
          <w:rFonts w:hint="eastAsia" w:ascii="仿宋" w:hAnsi="仿宋" w:eastAsia="仿宋" w:cs="仿宋"/>
          <w:color w:val="000000"/>
          <w:sz w:val="32"/>
          <w:szCs w:val="32"/>
        </w:rPr>
        <w:t>1、预算编制总分5分，自评得分5分</w:t>
      </w:r>
    </w:p>
    <w:p w14:paraId="3B4D8A84">
      <w:pPr>
        <w:wordWrap w:val="0"/>
        <w:spacing w:line="302" w:lineRule="auto"/>
        <w:ind w:left="20" w:right="140" w:firstLine="820"/>
        <w:jc w:val="both"/>
        <w:rPr>
          <w:rFonts w:hint="eastAsia" w:ascii="仿宋" w:hAnsi="仿宋" w:eastAsia="仿宋" w:cs="仿宋"/>
          <w:sz w:val="32"/>
          <w:szCs w:val="32"/>
        </w:rPr>
      </w:pPr>
      <w:r>
        <w:rPr>
          <w:rFonts w:hint="eastAsia" w:ascii="仿宋" w:hAnsi="仿宋" w:eastAsia="仿宋" w:cs="仿宋"/>
          <w:color w:val="000000"/>
          <w:sz w:val="32"/>
          <w:szCs w:val="32"/>
        </w:rPr>
        <w:t>（1）项目入库率分数为2分，自评得分2分。</w:t>
      </w:r>
      <w:r>
        <w:rPr>
          <w:rFonts w:hint="eastAsia" w:ascii="仿宋" w:hAnsi="仿宋" w:eastAsia="仿宋" w:cs="仿宋"/>
          <w:color w:val="000000"/>
          <w:sz w:val="32"/>
          <w:szCs w:val="32"/>
          <w:lang w:val="en-US" w:eastAsia="zh-CN"/>
        </w:rPr>
        <w:t>海上</w:t>
      </w:r>
      <w:r>
        <w:rPr>
          <w:rFonts w:hint="eastAsia" w:ascii="仿宋" w:hAnsi="仿宋" w:eastAsia="仿宋" w:cs="仿宋"/>
          <w:color w:val="000000"/>
          <w:sz w:val="32"/>
          <w:szCs w:val="32"/>
        </w:rPr>
        <w:t>中心二级项目入库率超过9</w:t>
      </w:r>
      <w:r>
        <w:rPr>
          <w:rFonts w:hint="eastAsia" w:ascii="仿宋" w:hAnsi="仿宋" w:eastAsia="仿宋" w:cs="仿宋"/>
          <w:color w:val="000000"/>
          <w:sz w:val="32"/>
          <w:szCs w:val="32"/>
          <w:lang w:val="en-US" w:eastAsia="zh-CN"/>
        </w:rPr>
        <w:t>5</w:t>
      </w:r>
      <w:r>
        <w:rPr>
          <w:rFonts w:hint="eastAsia" w:ascii="仿宋" w:hAnsi="仿宋" w:eastAsia="仿宋" w:cs="仿宋"/>
          <w:color w:val="000000"/>
          <w:sz w:val="32"/>
          <w:szCs w:val="32"/>
        </w:rPr>
        <w:t>％，该项目自评得分为满分。</w:t>
      </w:r>
    </w:p>
    <w:p w14:paraId="177421DD">
      <w:pPr>
        <w:wordWrap w:val="0"/>
        <w:spacing w:line="359" w:lineRule="auto"/>
        <w:ind w:left="60" w:right="140" w:firstLine="820"/>
        <w:jc w:val="both"/>
        <w:rPr>
          <w:rFonts w:hint="eastAsia" w:ascii="仿宋" w:hAnsi="仿宋" w:eastAsia="仿宋" w:cs="仿宋"/>
          <w:sz w:val="32"/>
          <w:szCs w:val="32"/>
        </w:rPr>
      </w:pPr>
      <w:r>
        <w:rPr>
          <w:rFonts w:hint="eastAsia" w:ascii="仿宋" w:hAnsi="仿宋" w:eastAsia="仿宋" w:cs="仿宋"/>
          <w:color w:val="000000"/>
          <w:sz w:val="32"/>
          <w:szCs w:val="32"/>
        </w:rPr>
        <w:t>（2）储备的二级项目使用率分数为2分，自评得分2分。</w:t>
      </w:r>
      <w:r>
        <w:rPr>
          <w:rFonts w:hint="eastAsia" w:ascii="仿宋" w:hAnsi="仿宋" w:eastAsia="仿宋" w:cs="仿宋"/>
          <w:color w:val="000000"/>
          <w:sz w:val="32"/>
          <w:szCs w:val="32"/>
          <w:lang w:val="en-US" w:eastAsia="zh-CN"/>
        </w:rPr>
        <w:t>海上</w:t>
      </w:r>
      <w:r>
        <w:rPr>
          <w:rFonts w:hint="eastAsia" w:ascii="仿宋" w:hAnsi="仿宋" w:eastAsia="仿宋" w:cs="仿宋"/>
          <w:color w:val="000000"/>
          <w:sz w:val="32"/>
          <w:szCs w:val="32"/>
        </w:rPr>
        <w:t>中心使用预算编制阶段储备的比例超过</w:t>
      </w:r>
      <w:r>
        <w:rPr>
          <w:rFonts w:hint="eastAsia" w:ascii="仿宋" w:hAnsi="仿宋" w:eastAsia="仿宋" w:cs="仿宋"/>
          <w:color w:val="000000"/>
          <w:sz w:val="32"/>
          <w:szCs w:val="32"/>
          <w:lang w:val="en-US" w:eastAsia="zh-CN"/>
        </w:rPr>
        <w:t>90</w:t>
      </w:r>
      <w:r>
        <w:rPr>
          <w:rFonts w:hint="eastAsia" w:ascii="仿宋" w:hAnsi="仿宋" w:eastAsia="仿宋" w:cs="仿宋"/>
          <w:color w:val="000000"/>
          <w:sz w:val="32"/>
          <w:szCs w:val="32"/>
        </w:rPr>
        <w:t>％，该项目自评得分为满分。</w:t>
      </w:r>
    </w:p>
    <w:p w14:paraId="35A6B1B1">
      <w:pPr>
        <w:wordWrap w:val="0"/>
        <w:spacing w:line="302" w:lineRule="auto"/>
        <w:ind w:left="60" w:right="140" w:firstLine="820"/>
        <w:jc w:val="both"/>
        <w:rPr>
          <w:rFonts w:hint="eastAsia" w:ascii="仿宋" w:hAnsi="仿宋" w:eastAsia="仿宋" w:cs="仿宋"/>
          <w:color w:val="000000"/>
          <w:sz w:val="32"/>
          <w:szCs w:val="32"/>
        </w:rPr>
      </w:pPr>
      <w:r>
        <w:rPr>
          <w:rFonts w:hint="eastAsia" w:ascii="仿宋" w:hAnsi="仿宋" w:eastAsia="仿宋" w:cs="仿宋"/>
          <w:color w:val="000000"/>
          <w:sz w:val="32"/>
          <w:szCs w:val="32"/>
        </w:rPr>
        <w:t>（3）新增预算项目事前绩效评估分数为1分，自评得分</w:t>
      </w:r>
      <w:r>
        <w:rPr>
          <w:rFonts w:hint="eastAsia" w:ascii="仿宋" w:hAnsi="仿宋" w:eastAsia="仿宋" w:cs="仿宋"/>
          <w:color w:val="000000"/>
          <w:sz w:val="32"/>
          <w:szCs w:val="32"/>
          <w:lang w:val="en-US" w:eastAsia="zh-CN"/>
        </w:rPr>
        <w:t>0.5</w:t>
      </w:r>
      <w:r>
        <w:rPr>
          <w:rFonts w:hint="eastAsia" w:ascii="仿宋" w:hAnsi="仿宋" w:eastAsia="仿宋" w:cs="仿宋"/>
          <w:color w:val="000000"/>
          <w:sz w:val="32"/>
          <w:szCs w:val="32"/>
        </w:rPr>
        <w:t>分。</w:t>
      </w:r>
      <w:r>
        <w:rPr>
          <w:rFonts w:hint="eastAsia" w:ascii="仿宋" w:hAnsi="仿宋" w:eastAsia="仿宋" w:cs="仿宋"/>
          <w:color w:val="000000"/>
          <w:sz w:val="32"/>
          <w:szCs w:val="32"/>
          <w:lang w:val="en-US" w:eastAsia="zh-CN"/>
        </w:rPr>
        <w:t>海上中心有一项</w:t>
      </w:r>
      <w:r>
        <w:rPr>
          <w:rFonts w:hint="eastAsia" w:ascii="仿宋" w:hAnsi="仿宋" w:eastAsia="仿宋" w:cs="仿宋"/>
          <w:color w:val="000000"/>
          <w:sz w:val="32"/>
          <w:szCs w:val="32"/>
        </w:rPr>
        <w:t>应评估未评估项目，该项目自评得分为</w:t>
      </w:r>
      <w:r>
        <w:rPr>
          <w:rFonts w:hint="eastAsia" w:ascii="仿宋" w:hAnsi="仿宋" w:eastAsia="仿宋" w:cs="仿宋"/>
          <w:color w:val="000000"/>
          <w:sz w:val="32"/>
          <w:szCs w:val="32"/>
          <w:lang w:val="en-US" w:eastAsia="zh-CN"/>
        </w:rPr>
        <w:t>0.5</w:t>
      </w:r>
      <w:r>
        <w:rPr>
          <w:rFonts w:hint="eastAsia" w:ascii="仿宋" w:hAnsi="仿宋" w:eastAsia="仿宋" w:cs="仿宋"/>
          <w:color w:val="000000"/>
          <w:sz w:val="32"/>
          <w:szCs w:val="32"/>
        </w:rPr>
        <w:t>分。</w:t>
      </w:r>
    </w:p>
    <w:p w14:paraId="29D05837">
      <w:pPr>
        <w:wordWrap w:val="0"/>
        <w:spacing w:line="239" w:lineRule="auto"/>
        <w:ind w:firstLine="680"/>
        <w:jc w:val="both"/>
        <w:rPr>
          <w:rFonts w:hint="eastAsia" w:ascii="仿宋" w:hAnsi="仿宋" w:eastAsia="仿宋" w:cs="仿宋"/>
          <w:color w:val="000000"/>
          <w:sz w:val="32"/>
          <w:szCs w:val="32"/>
        </w:rPr>
      </w:pPr>
      <w:r>
        <w:rPr>
          <w:rFonts w:hint="eastAsia" w:ascii="仿宋" w:hAnsi="仿宋" w:eastAsia="仿宋" w:cs="仿宋"/>
          <w:color w:val="000000"/>
          <w:sz w:val="32"/>
          <w:szCs w:val="32"/>
        </w:rPr>
        <w:t>2、预算执行总分4分，自评得分4分</w:t>
      </w:r>
    </w:p>
    <w:p w14:paraId="11EB9CCB">
      <w:pPr>
        <w:wordWrap w:val="0"/>
        <w:spacing w:line="292" w:lineRule="auto"/>
        <w:ind w:left="60" w:right="180" w:firstLine="800"/>
        <w:jc w:val="both"/>
        <w:rPr>
          <w:rFonts w:hint="eastAsia" w:ascii="仿宋" w:hAnsi="仿宋" w:eastAsia="仿宋" w:cs="仿宋"/>
          <w:color w:val="000000"/>
          <w:sz w:val="32"/>
          <w:szCs w:val="32"/>
        </w:rPr>
      </w:pPr>
      <w:r>
        <w:rPr>
          <w:rFonts w:hint="eastAsia" w:ascii="仿宋" w:hAnsi="仿宋" w:eastAsia="仿宋" w:cs="仿宋"/>
          <w:color w:val="000000"/>
          <w:sz w:val="32"/>
          <w:szCs w:val="32"/>
        </w:rPr>
        <w:t>（1）预算编制约束性分数为1分，自评得分1分。</w:t>
      </w:r>
      <w:r>
        <w:rPr>
          <w:rFonts w:hint="eastAsia" w:ascii="仿宋" w:hAnsi="仿宋" w:eastAsia="仿宋" w:cs="仿宋"/>
          <w:color w:val="000000"/>
          <w:sz w:val="32"/>
          <w:szCs w:val="32"/>
          <w:lang w:val="en-US" w:eastAsia="zh-CN"/>
        </w:rPr>
        <w:t>海上</w:t>
      </w:r>
      <w:r>
        <w:rPr>
          <w:rFonts w:hint="eastAsia" w:ascii="仿宋" w:hAnsi="仿宋" w:eastAsia="仿宋" w:cs="仿宋"/>
          <w:color w:val="000000"/>
          <w:sz w:val="32"/>
          <w:szCs w:val="32"/>
        </w:rPr>
        <w:t>中心未发生自主调整预算的情况。</w:t>
      </w:r>
    </w:p>
    <w:p w14:paraId="6C82956D">
      <w:pPr>
        <w:wordWrap w:val="0"/>
        <w:spacing w:line="292" w:lineRule="auto"/>
        <w:ind w:left="60" w:right="140" w:firstLine="800"/>
        <w:jc w:val="both"/>
        <w:rPr>
          <w:rFonts w:hint="eastAsia" w:ascii="仿宋" w:hAnsi="仿宋" w:eastAsia="仿宋" w:cs="仿宋"/>
          <w:color w:val="000000"/>
          <w:sz w:val="32"/>
          <w:szCs w:val="32"/>
        </w:rPr>
      </w:pPr>
      <w:r>
        <w:rPr>
          <w:rFonts w:hint="eastAsia" w:ascii="仿宋" w:hAnsi="仿宋" w:eastAsia="仿宋" w:cs="仿宋"/>
          <w:color w:val="000000"/>
          <w:sz w:val="32"/>
          <w:szCs w:val="32"/>
        </w:rPr>
        <w:t>（2）资金下达合规性分数为1分，自评得分1分。</w:t>
      </w:r>
      <w:r>
        <w:rPr>
          <w:rFonts w:hint="eastAsia" w:ascii="仿宋" w:hAnsi="仿宋" w:eastAsia="仿宋" w:cs="仿宋"/>
          <w:color w:val="000000"/>
          <w:sz w:val="32"/>
          <w:szCs w:val="32"/>
          <w:lang w:val="en-US" w:eastAsia="zh-CN"/>
        </w:rPr>
        <w:t>海上</w:t>
      </w:r>
      <w:r>
        <w:rPr>
          <w:rFonts w:hint="eastAsia" w:ascii="仿宋" w:hAnsi="仿宋" w:eastAsia="仿宋" w:cs="仿宋"/>
          <w:color w:val="000000"/>
          <w:sz w:val="32"/>
          <w:szCs w:val="32"/>
        </w:rPr>
        <w:t>中心资金下达合法，提前下达比例符合要求，该项目自评得分为满分。</w:t>
      </w:r>
    </w:p>
    <w:p w14:paraId="79DE565C">
      <w:pPr>
        <w:wordWrap w:val="0"/>
        <w:spacing w:line="316" w:lineRule="auto"/>
        <w:ind w:left="60" w:right="140" w:firstLine="820"/>
        <w:jc w:val="both"/>
        <w:rPr>
          <w:rFonts w:hint="eastAsia" w:ascii="仿宋" w:hAnsi="仿宋" w:eastAsia="仿宋" w:cs="仿宋"/>
          <w:sz w:val="32"/>
          <w:szCs w:val="32"/>
        </w:rPr>
      </w:pPr>
      <w:r>
        <w:rPr>
          <w:rFonts w:hint="eastAsia" w:ascii="仿宋" w:hAnsi="仿宋" w:eastAsia="仿宋" w:cs="仿宋"/>
          <w:color w:val="000000"/>
          <w:sz w:val="32"/>
          <w:szCs w:val="32"/>
        </w:rPr>
        <w:t>（3）财务管理合规性分数为2分，自评得分2分。</w:t>
      </w:r>
      <w:r>
        <w:rPr>
          <w:rFonts w:hint="eastAsia" w:ascii="仿宋" w:hAnsi="仿宋" w:eastAsia="仿宋" w:cs="仿宋"/>
          <w:color w:val="000000"/>
          <w:sz w:val="32"/>
          <w:szCs w:val="32"/>
          <w:lang w:val="en-US" w:eastAsia="zh-CN"/>
        </w:rPr>
        <w:t>海上</w:t>
      </w:r>
      <w:r>
        <w:rPr>
          <w:rFonts w:hint="eastAsia" w:ascii="仿宋" w:hAnsi="仿宋" w:eastAsia="仿宋" w:cs="仿宋"/>
          <w:color w:val="000000"/>
          <w:sz w:val="32"/>
          <w:szCs w:val="32"/>
        </w:rPr>
        <w:t>中心支出范围、程序、用途核实符合国家财经法规、财务管理制度及有关专项资金管理办法的规定。</w:t>
      </w:r>
    </w:p>
    <w:p w14:paraId="0EB78A47">
      <w:pPr>
        <w:wordWrap w:val="0"/>
        <w:spacing w:before="26" w:line="359" w:lineRule="auto"/>
        <w:ind w:firstLine="680"/>
        <w:jc w:val="both"/>
        <w:rPr>
          <w:rFonts w:hint="eastAsia" w:ascii="仿宋" w:hAnsi="仿宋" w:eastAsia="仿宋" w:cs="仿宋"/>
          <w:sz w:val="32"/>
          <w:szCs w:val="32"/>
        </w:rPr>
      </w:pPr>
      <w:r>
        <w:rPr>
          <w:rFonts w:hint="eastAsia" w:ascii="仿宋" w:hAnsi="仿宋" w:eastAsia="仿宋" w:cs="仿宋"/>
          <w:color w:val="000000"/>
          <w:sz w:val="32"/>
          <w:szCs w:val="32"/>
        </w:rPr>
        <w:t>3、信息公开总分3分，自评得分3分</w:t>
      </w:r>
    </w:p>
    <w:p w14:paraId="7CC01185">
      <w:pPr>
        <w:wordWrap w:val="0"/>
        <w:spacing w:line="307" w:lineRule="auto"/>
        <w:ind w:left="60" w:right="140" w:firstLine="820"/>
        <w:jc w:val="both"/>
        <w:rPr>
          <w:rFonts w:hint="eastAsia" w:ascii="仿宋" w:hAnsi="仿宋" w:eastAsia="仿宋" w:cs="仿宋"/>
          <w:color w:val="000000"/>
          <w:sz w:val="32"/>
          <w:szCs w:val="32"/>
        </w:rPr>
      </w:pPr>
      <w:r>
        <w:rPr>
          <w:rFonts w:hint="eastAsia" w:ascii="仿宋" w:hAnsi="仿宋" w:eastAsia="仿宋" w:cs="仿宋"/>
          <w:color w:val="000000"/>
          <w:sz w:val="32"/>
          <w:szCs w:val="32"/>
        </w:rPr>
        <w:t>（1）预决算公开合规性分数为2分，自评得分2分。</w:t>
      </w:r>
      <w:r>
        <w:rPr>
          <w:rFonts w:hint="eastAsia" w:ascii="仿宋" w:hAnsi="仿宋" w:eastAsia="仿宋" w:cs="仿宋"/>
          <w:color w:val="000000"/>
          <w:sz w:val="32"/>
          <w:szCs w:val="32"/>
          <w:lang w:val="en-US" w:eastAsia="zh-CN"/>
        </w:rPr>
        <w:t>海上</w:t>
      </w:r>
      <w:r>
        <w:rPr>
          <w:rFonts w:hint="eastAsia" w:ascii="仿宋" w:hAnsi="仿宋" w:eastAsia="仿宋" w:cs="仿宋"/>
          <w:color w:val="000000"/>
          <w:sz w:val="32"/>
          <w:szCs w:val="32"/>
        </w:rPr>
        <w:t>中心对预算和决算均进行了及时、规范地公开，该项目自评得分为满分。</w:t>
      </w:r>
    </w:p>
    <w:p w14:paraId="02EDEF27">
      <w:pPr>
        <w:wordWrap w:val="0"/>
        <w:spacing w:line="311" w:lineRule="auto"/>
        <w:ind w:left="60" w:right="120" w:firstLine="820"/>
        <w:jc w:val="both"/>
        <w:rPr>
          <w:rFonts w:hint="eastAsia" w:ascii="仿宋" w:hAnsi="仿宋" w:eastAsia="仿宋" w:cs="仿宋"/>
          <w:sz w:val="32"/>
          <w:szCs w:val="32"/>
        </w:rPr>
        <w:sectPr>
          <w:footerReference r:id="rId10" w:type="default"/>
          <w:type w:val="continuous"/>
          <w:pgSz w:w="11900" w:h="16820"/>
          <w:pgMar w:top="1680" w:right="1200" w:bottom="1200" w:left="1200" w:header="840" w:footer="600" w:gutter="0"/>
          <w:cols w:space="720" w:num="1"/>
        </w:sectPr>
      </w:pPr>
      <w:r>
        <w:rPr>
          <w:rFonts w:hint="eastAsia" w:ascii="仿宋" w:hAnsi="仿宋" w:eastAsia="仿宋" w:cs="仿宋"/>
          <w:color w:val="000000"/>
          <w:sz w:val="32"/>
          <w:szCs w:val="32"/>
        </w:rPr>
        <w:t>（2）绩效信息公开情况分数为1分，自评得分1分。</w:t>
      </w:r>
      <w:r>
        <w:rPr>
          <w:rFonts w:hint="eastAsia" w:ascii="仿宋" w:hAnsi="仿宋" w:eastAsia="仿宋" w:cs="仿宋"/>
          <w:color w:val="000000"/>
          <w:sz w:val="32"/>
          <w:szCs w:val="32"/>
          <w:lang w:val="en-US" w:eastAsia="zh-CN"/>
        </w:rPr>
        <w:t>海上</w:t>
      </w:r>
      <w:r>
        <w:rPr>
          <w:rFonts w:hint="eastAsia" w:ascii="仿宋" w:hAnsi="仿宋" w:eastAsia="仿宋" w:cs="仿宋"/>
          <w:color w:val="000000"/>
          <w:sz w:val="32"/>
          <w:szCs w:val="32"/>
        </w:rPr>
        <w:t>中心绩效目标、绩效自评资料均在规定的时间的内进行了公开，该项目自评得分为满分。</w:t>
      </w:r>
    </w:p>
    <w:p w14:paraId="266DBD4E">
      <w:pPr>
        <w:wordWrap w:val="0"/>
        <w:spacing w:line="239" w:lineRule="auto"/>
        <w:ind w:firstLine="640"/>
        <w:jc w:val="both"/>
        <w:rPr>
          <w:rFonts w:hint="eastAsia" w:ascii="仿宋" w:hAnsi="仿宋" w:eastAsia="仿宋" w:cs="仿宋"/>
          <w:sz w:val="32"/>
          <w:szCs w:val="32"/>
        </w:rPr>
      </w:pPr>
      <w:r>
        <w:rPr>
          <w:rFonts w:hint="eastAsia" w:ascii="仿宋" w:hAnsi="仿宋" w:eastAsia="仿宋" w:cs="仿宋"/>
          <w:color w:val="000000"/>
          <w:sz w:val="32"/>
          <w:szCs w:val="32"/>
        </w:rPr>
        <w:t>4、绩效管理总分15分，自评得分</w:t>
      </w:r>
      <w:r>
        <w:rPr>
          <w:rFonts w:hint="eastAsia" w:ascii="仿宋" w:hAnsi="仿宋" w:eastAsia="仿宋" w:cs="仿宋"/>
          <w:color w:val="000000"/>
          <w:sz w:val="32"/>
          <w:szCs w:val="32"/>
          <w:lang w:val="en-US" w:eastAsia="zh-CN"/>
        </w:rPr>
        <w:t>14.3</w:t>
      </w:r>
      <w:r>
        <w:rPr>
          <w:rFonts w:hint="eastAsia" w:ascii="仿宋" w:hAnsi="仿宋" w:eastAsia="仿宋" w:cs="仿宋"/>
          <w:color w:val="000000"/>
          <w:sz w:val="32"/>
          <w:szCs w:val="32"/>
        </w:rPr>
        <w:t>分</w:t>
      </w:r>
    </w:p>
    <w:p w14:paraId="7F5970D7">
      <w:pPr>
        <w:wordWrap w:val="0"/>
        <w:spacing w:line="359" w:lineRule="auto"/>
        <w:ind w:left="20" w:right="180" w:firstLine="820"/>
        <w:jc w:val="both"/>
        <w:rPr>
          <w:rFonts w:hint="eastAsia" w:ascii="仿宋" w:hAnsi="仿宋" w:eastAsia="仿宋" w:cs="仿宋"/>
          <w:sz w:val="32"/>
          <w:szCs w:val="32"/>
        </w:rPr>
      </w:pPr>
      <w:r>
        <w:rPr>
          <w:rFonts w:hint="eastAsia" w:ascii="仿宋" w:hAnsi="仿宋" w:eastAsia="仿宋" w:cs="仿宋"/>
          <w:color w:val="000000"/>
          <w:sz w:val="32"/>
          <w:szCs w:val="32"/>
        </w:rPr>
        <w:t>（1）绩效管理制度建设分数为5分，自评得分5分。中心制定了《</w:t>
      </w:r>
      <w:r>
        <w:rPr>
          <w:rFonts w:hint="eastAsia" w:ascii="仿宋" w:hAnsi="仿宋" w:eastAsia="仿宋" w:cs="仿宋"/>
          <w:color w:val="000000"/>
          <w:sz w:val="32"/>
          <w:szCs w:val="32"/>
          <w:lang w:val="en-US" w:eastAsia="zh-CN"/>
        </w:rPr>
        <w:t>广东海上项目训练中心因公临时出国（境）经费管理规定</w:t>
      </w:r>
      <w:r>
        <w:rPr>
          <w:rFonts w:hint="eastAsia" w:ascii="仿宋" w:hAnsi="仿宋" w:eastAsia="仿宋" w:cs="仿宋"/>
          <w:color w:val="000000"/>
          <w:sz w:val="32"/>
          <w:szCs w:val="32"/>
        </w:rPr>
        <w:t>》等</w:t>
      </w: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个专项管理制度。</w:t>
      </w:r>
    </w:p>
    <w:p w14:paraId="3C98F99A">
      <w:pPr>
        <w:wordWrap w:val="0"/>
        <w:spacing w:line="326" w:lineRule="auto"/>
        <w:ind w:left="20" w:right="180" w:firstLine="820"/>
        <w:jc w:val="both"/>
        <w:rPr>
          <w:rFonts w:hint="eastAsia" w:ascii="仿宋" w:hAnsi="仿宋" w:eastAsia="仿宋" w:cs="仿宋"/>
          <w:color w:val="000000"/>
          <w:sz w:val="32"/>
          <w:szCs w:val="32"/>
        </w:rPr>
      </w:pPr>
      <w:r>
        <w:rPr>
          <w:rFonts w:hint="eastAsia" w:ascii="仿宋" w:hAnsi="仿宋" w:eastAsia="仿宋" w:cs="仿宋"/>
          <w:color w:val="000000"/>
          <w:sz w:val="32"/>
          <w:szCs w:val="32"/>
        </w:rPr>
        <w:t>（2）绩效结果应用分数为2分，自评得分</w:t>
      </w:r>
      <w:r>
        <w:rPr>
          <w:rFonts w:hint="eastAsia" w:ascii="仿宋" w:hAnsi="仿宋" w:eastAsia="仿宋" w:cs="仿宋"/>
          <w:color w:val="000000"/>
          <w:sz w:val="32"/>
          <w:szCs w:val="32"/>
          <w:lang w:val="en-US" w:eastAsia="zh-CN"/>
        </w:rPr>
        <w:t>1.8</w:t>
      </w:r>
      <w:r>
        <w:rPr>
          <w:rFonts w:hint="eastAsia" w:ascii="仿宋" w:hAnsi="仿宋" w:eastAsia="仿宋" w:cs="仿宋"/>
          <w:color w:val="000000"/>
          <w:sz w:val="32"/>
          <w:szCs w:val="32"/>
        </w:rPr>
        <w:t>分。中心能够及时反馈处理监控预警提醒信息，及时将重点评价整改情况向省体育局、省财政厅反馈并建立了评价结果与预算编制挂钩的相关机制。将评价结果与所属预算单位预算安排相结合。</w:t>
      </w:r>
    </w:p>
    <w:p w14:paraId="2ACFFE86">
      <w:pPr>
        <w:wordWrap w:val="0"/>
        <w:spacing w:line="302" w:lineRule="auto"/>
        <w:ind w:left="20" w:right="180" w:firstLine="800"/>
        <w:jc w:val="both"/>
        <w:rPr>
          <w:rFonts w:hint="eastAsia" w:ascii="仿宋" w:hAnsi="仿宋" w:eastAsia="仿宋" w:cs="仿宋"/>
          <w:color w:val="000000"/>
          <w:sz w:val="32"/>
          <w:szCs w:val="32"/>
        </w:rPr>
      </w:pPr>
      <w:r>
        <w:rPr>
          <w:rFonts w:hint="eastAsia" w:ascii="仿宋" w:hAnsi="仿宋" w:eastAsia="仿宋" w:cs="仿宋"/>
          <w:color w:val="000000"/>
          <w:sz w:val="32"/>
          <w:szCs w:val="32"/>
        </w:rPr>
        <w:t>（3）绩效结果应用分数为1分，自评得分1分。能及时将重点评价整改情况反馈省财政厅。</w:t>
      </w:r>
    </w:p>
    <w:p w14:paraId="183FF99D">
      <w:pPr>
        <w:wordWrap w:val="0"/>
        <w:spacing w:line="292" w:lineRule="auto"/>
        <w:ind w:left="20" w:right="180" w:firstLine="800"/>
        <w:jc w:val="both"/>
        <w:rPr>
          <w:rFonts w:hint="eastAsia" w:ascii="仿宋" w:hAnsi="仿宋" w:eastAsia="仿宋" w:cs="仿宋"/>
          <w:color w:val="000000"/>
          <w:sz w:val="32"/>
          <w:szCs w:val="32"/>
        </w:rPr>
      </w:pPr>
      <w:r>
        <w:rPr>
          <w:rFonts w:hint="eastAsia" w:ascii="仿宋" w:hAnsi="仿宋" w:eastAsia="仿宋" w:cs="仿宋"/>
          <w:color w:val="000000"/>
          <w:sz w:val="32"/>
          <w:szCs w:val="32"/>
        </w:rPr>
        <w:t>（4）绩效管理制度执行分数为7分，自评得分7分。</w:t>
      </w:r>
      <w:r>
        <w:rPr>
          <w:rFonts w:hint="eastAsia" w:ascii="仿宋" w:hAnsi="仿宋" w:eastAsia="仿宋" w:cs="仿宋"/>
          <w:color w:val="000000"/>
          <w:sz w:val="32"/>
          <w:szCs w:val="32"/>
          <w:lang w:val="en-US" w:eastAsia="zh-CN"/>
        </w:rPr>
        <w:t>海上</w:t>
      </w:r>
      <w:r>
        <w:rPr>
          <w:rFonts w:hint="eastAsia" w:ascii="仿宋" w:hAnsi="仿宋" w:eastAsia="仿宋" w:cs="仿宋"/>
          <w:color w:val="000000"/>
          <w:sz w:val="32"/>
          <w:szCs w:val="32"/>
        </w:rPr>
        <w:t>中心部门整体预算绩效目标和项目绩效目标编报质量良好。</w:t>
      </w:r>
    </w:p>
    <w:p w14:paraId="72EF6D11">
      <w:pPr>
        <w:wordWrap w:val="0"/>
        <w:spacing w:line="244" w:lineRule="auto"/>
        <w:ind w:firstLine="640"/>
        <w:jc w:val="both"/>
        <w:rPr>
          <w:rFonts w:hint="eastAsia" w:ascii="仿宋" w:hAnsi="仿宋" w:eastAsia="仿宋" w:cs="仿宋"/>
          <w:color w:val="000000"/>
          <w:sz w:val="32"/>
          <w:szCs w:val="32"/>
        </w:rPr>
      </w:pPr>
      <w:r>
        <w:rPr>
          <w:rFonts w:hint="eastAsia" w:ascii="仿宋" w:hAnsi="仿宋" w:eastAsia="仿宋" w:cs="仿宋"/>
          <w:color w:val="000000"/>
          <w:sz w:val="32"/>
          <w:szCs w:val="32"/>
        </w:rPr>
        <w:t>5、采购管理总分10分，自评得分10分</w:t>
      </w:r>
    </w:p>
    <w:p w14:paraId="3EC3A7F4">
      <w:pPr>
        <w:wordWrap w:val="0"/>
        <w:spacing w:line="321" w:lineRule="auto"/>
        <w:ind w:left="20" w:right="160" w:firstLine="820"/>
        <w:jc w:val="both"/>
        <w:rPr>
          <w:rFonts w:hint="eastAsia" w:ascii="仿宋" w:hAnsi="仿宋" w:eastAsia="仿宋" w:cs="仿宋"/>
          <w:sz w:val="32"/>
          <w:szCs w:val="32"/>
        </w:rPr>
      </w:pPr>
      <w:r>
        <w:rPr>
          <w:rFonts w:hint="eastAsia" w:ascii="仿宋" w:hAnsi="仿宋" w:eastAsia="仿宋" w:cs="仿宋"/>
          <w:color w:val="000000"/>
          <w:sz w:val="32"/>
          <w:szCs w:val="32"/>
        </w:rPr>
        <w:t>（1）采购意向公开合规性分数为2分，自评得分2分。船艇中心采购意向公开率100％，采购公开时限符合监管要求。该项目自评得分为满分。</w:t>
      </w:r>
    </w:p>
    <w:p w14:paraId="663CDA6F">
      <w:pPr>
        <w:wordWrap w:val="0"/>
        <w:spacing w:line="316" w:lineRule="auto"/>
        <w:ind w:left="20" w:right="180" w:firstLine="820"/>
        <w:jc w:val="both"/>
        <w:rPr>
          <w:rFonts w:hint="eastAsia" w:ascii="仿宋" w:hAnsi="仿宋" w:eastAsia="仿宋" w:cs="仿宋"/>
          <w:sz w:val="32"/>
          <w:szCs w:val="32"/>
        </w:rPr>
      </w:pPr>
      <w:r>
        <w:rPr>
          <w:rFonts w:hint="eastAsia" w:ascii="仿宋" w:hAnsi="仿宋" w:eastAsia="仿宋" w:cs="仿宋"/>
          <w:color w:val="000000"/>
          <w:sz w:val="32"/>
          <w:szCs w:val="32"/>
        </w:rPr>
        <w:t>（2）采购内控制度建设分数为1分，自评得分1分。</w:t>
      </w:r>
      <w:r>
        <w:rPr>
          <w:rFonts w:hint="eastAsia" w:ascii="仿宋" w:hAnsi="仿宋" w:eastAsia="仿宋" w:cs="仿宋"/>
          <w:color w:val="000000"/>
          <w:sz w:val="32"/>
          <w:szCs w:val="32"/>
          <w:lang w:val="en-US" w:eastAsia="zh-CN"/>
        </w:rPr>
        <w:t>海上</w:t>
      </w:r>
      <w:r>
        <w:rPr>
          <w:rFonts w:hint="eastAsia" w:ascii="仿宋" w:hAnsi="仿宋" w:eastAsia="仿宋" w:cs="仿宋"/>
          <w:color w:val="000000"/>
          <w:sz w:val="32"/>
          <w:szCs w:val="32"/>
        </w:rPr>
        <w:t>中心建立政府采购内部控制管理制度，该项目自评得分为满分。</w:t>
      </w:r>
    </w:p>
    <w:p w14:paraId="3C1CC8F3">
      <w:pPr>
        <w:wordWrap w:val="0"/>
        <w:spacing w:line="240" w:lineRule="auto"/>
        <w:ind w:firstLine="0"/>
        <w:jc w:val="both"/>
        <w:rPr>
          <w:rFonts w:hint="eastAsia" w:ascii="仿宋" w:hAnsi="仿宋" w:eastAsia="仿宋" w:cs="仿宋"/>
          <w:color w:val="000000"/>
          <w:sz w:val="32"/>
          <w:szCs w:val="32"/>
        </w:rPr>
      </w:pPr>
    </w:p>
    <w:p w14:paraId="6FD22B36">
      <w:pPr>
        <w:wordWrap w:val="0"/>
        <w:spacing w:line="287" w:lineRule="auto"/>
        <w:ind w:left="20" w:right="180" w:firstLine="820"/>
        <w:jc w:val="both"/>
        <w:rPr>
          <w:rFonts w:hint="eastAsia" w:ascii="仿宋" w:hAnsi="仿宋" w:eastAsia="仿宋" w:cs="仿宋"/>
          <w:sz w:val="32"/>
          <w:szCs w:val="32"/>
        </w:rPr>
        <w:sectPr>
          <w:footerReference r:id="rId11" w:type="default"/>
          <w:type w:val="continuous"/>
          <w:pgSz w:w="11900" w:h="16820"/>
          <w:pgMar w:top="1680" w:right="1200" w:bottom="1200" w:left="1200" w:header="840" w:footer="600" w:gutter="0"/>
          <w:cols w:space="720" w:num="1"/>
        </w:sectPr>
      </w:pPr>
      <w:r>
        <w:rPr>
          <w:rFonts w:hint="eastAsia" w:ascii="仿宋" w:hAnsi="仿宋" w:eastAsia="仿宋" w:cs="仿宋"/>
          <w:color w:val="000000"/>
          <w:sz w:val="32"/>
          <w:szCs w:val="32"/>
        </w:rPr>
        <w:t>（3）采购活动合规性分数为2分，自评得分2分。</w:t>
      </w:r>
      <w:r>
        <w:rPr>
          <w:rFonts w:hint="eastAsia" w:ascii="仿宋" w:hAnsi="仿宋" w:eastAsia="仿宋" w:cs="仿宋"/>
          <w:color w:val="000000"/>
          <w:sz w:val="32"/>
          <w:szCs w:val="32"/>
          <w:lang w:val="en-US" w:eastAsia="zh-CN"/>
        </w:rPr>
        <w:t>海上</w:t>
      </w:r>
      <w:r>
        <w:rPr>
          <w:rFonts w:hint="eastAsia" w:ascii="仿宋" w:hAnsi="仿宋" w:eastAsia="仿宋" w:cs="仿宋"/>
          <w:color w:val="000000"/>
          <w:sz w:val="32"/>
          <w:szCs w:val="32"/>
        </w:rPr>
        <w:t>中心采购无投诉事项，该项目自评得分为满分。</w:t>
      </w:r>
    </w:p>
    <w:p w14:paraId="5C9A36E4">
      <w:pPr>
        <w:wordWrap w:val="0"/>
        <w:spacing w:line="302" w:lineRule="auto"/>
        <w:ind w:left="20" w:right="140" w:firstLine="800"/>
        <w:jc w:val="both"/>
        <w:rPr>
          <w:rFonts w:hint="eastAsia" w:ascii="仿宋" w:hAnsi="仿宋" w:eastAsia="仿宋" w:cs="仿宋"/>
          <w:sz w:val="32"/>
          <w:szCs w:val="32"/>
        </w:rPr>
      </w:pPr>
      <w:r>
        <w:rPr>
          <w:rFonts w:hint="eastAsia" w:ascii="仿宋" w:hAnsi="仿宋" w:eastAsia="仿宋" w:cs="仿宋"/>
          <w:color w:val="000000"/>
          <w:sz w:val="32"/>
          <w:szCs w:val="32"/>
        </w:rPr>
        <w:t>（4）采购合同签订时效性分数为3分，自评得分3分。中心按照采购文件确定的事项及时间签订政府采购合同。</w:t>
      </w:r>
    </w:p>
    <w:p w14:paraId="5227326C">
      <w:pPr>
        <w:wordWrap w:val="0"/>
        <w:spacing w:before="35" w:line="359" w:lineRule="auto"/>
        <w:ind w:left="60" w:right="140" w:firstLine="820"/>
        <w:jc w:val="both"/>
        <w:rPr>
          <w:rFonts w:hint="eastAsia" w:ascii="仿宋" w:hAnsi="仿宋" w:eastAsia="仿宋" w:cs="仿宋"/>
          <w:sz w:val="32"/>
          <w:szCs w:val="32"/>
        </w:rPr>
      </w:pPr>
      <w:r>
        <w:rPr>
          <w:rFonts w:hint="eastAsia" w:ascii="仿宋" w:hAnsi="仿宋" w:eastAsia="仿宋" w:cs="仿宋"/>
          <w:color w:val="000000"/>
          <w:sz w:val="32"/>
          <w:szCs w:val="32"/>
        </w:rPr>
        <w:t>（5）合同备案时效性分数为1分，自评得分1分。中心能在合同签订之日起2个工作日内在“广东省政府采购网”备案公开。</w:t>
      </w:r>
    </w:p>
    <w:p w14:paraId="67C4D75A">
      <w:pPr>
        <w:wordWrap w:val="0"/>
        <w:spacing w:line="316" w:lineRule="auto"/>
        <w:ind w:left="60" w:right="140" w:firstLine="820"/>
        <w:jc w:val="both"/>
        <w:rPr>
          <w:rFonts w:hint="eastAsia" w:ascii="仿宋" w:hAnsi="仿宋" w:eastAsia="仿宋" w:cs="仿宋"/>
          <w:sz w:val="32"/>
          <w:szCs w:val="32"/>
        </w:rPr>
      </w:pPr>
      <w:r>
        <w:rPr>
          <w:rFonts w:hint="eastAsia" w:ascii="仿宋" w:hAnsi="仿宋" w:eastAsia="仿宋" w:cs="仿宋"/>
          <w:color w:val="000000"/>
          <w:sz w:val="32"/>
          <w:szCs w:val="32"/>
        </w:rPr>
        <w:t>（6）采购政策效能分数为1分，自评得分1分。中心面向中小企业预留采购的份额符合《政府采购促进中小企业发展管理办法》要求。该项目自评得分为满分。</w:t>
      </w:r>
    </w:p>
    <w:p w14:paraId="7CE14DB4">
      <w:pPr>
        <w:wordWrap w:val="0"/>
        <w:spacing w:line="240" w:lineRule="auto"/>
        <w:ind w:firstLine="0"/>
        <w:jc w:val="both"/>
        <w:rPr>
          <w:rFonts w:hint="eastAsia" w:ascii="仿宋" w:hAnsi="仿宋" w:eastAsia="仿宋" w:cs="仿宋"/>
          <w:color w:val="000000"/>
          <w:sz w:val="32"/>
          <w:szCs w:val="32"/>
        </w:rPr>
      </w:pPr>
    </w:p>
    <w:p w14:paraId="56E9E81B">
      <w:pPr>
        <w:wordWrap w:val="0"/>
        <w:spacing w:line="244" w:lineRule="auto"/>
        <w:ind w:firstLine="660"/>
        <w:jc w:val="both"/>
        <w:rPr>
          <w:rFonts w:hint="eastAsia" w:ascii="仿宋" w:hAnsi="仿宋" w:eastAsia="仿宋" w:cs="仿宋"/>
          <w:sz w:val="32"/>
          <w:szCs w:val="32"/>
        </w:rPr>
      </w:pPr>
      <w:r>
        <w:rPr>
          <w:rFonts w:hint="eastAsia" w:ascii="仿宋" w:hAnsi="仿宋" w:eastAsia="仿宋" w:cs="仿宋"/>
          <w:color w:val="000000"/>
          <w:sz w:val="32"/>
          <w:szCs w:val="32"/>
        </w:rPr>
        <w:t>6、资产管理总分10分，自评得分</w:t>
      </w:r>
      <w:r>
        <w:rPr>
          <w:rFonts w:hint="eastAsia" w:ascii="仿宋" w:hAnsi="仿宋" w:eastAsia="仿宋" w:cs="仿宋"/>
          <w:color w:val="000000"/>
          <w:sz w:val="32"/>
          <w:szCs w:val="32"/>
          <w:lang w:val="en-US" w:eastAsia="zh-CN"/>
        </w:rPr>
        <w:t>8.92</w:t>
      </w:r>
      <w:r>
        <w:rPr>
          <w:rFonts w:hint="eastAsia" w:ascii="仿宋" w:hAnsi="仿宋" w:eastAsia="仿宋" w:cs="仿宋"/>
          <w:color w:val="000000"/>
          <w:sz w:val="32"/>
          <w:szCs w:val="32"/>
        </w:rPr>
        <w:t>分</w:t>
      </w:r>
    </w:p>
    <w:p w14:paraId="4036210E">
      <w:pPr>
        <w:wordWrap w:val="0"/>
        <w:spacing w:line="240" w:lineRule="auto"/>
        <w:ind w:firstLine="0"/>
        <w:jc w:val="both"/>
        <w:rPr>
          <w:rFonts w:hint="eastAsia" w:ascii="仿宋" w:hAnsi="仿宋" w:eastAsia="仿宋" w:cs="仿宋"/>
          <w:color w:val="000000"/>
          <w:sz w:val="32"/>
          <w:szCs w:val="32"/>
        </w:rPr>
      </w:pPr>
    </w:p>
    <w:p w14:paraId="25D093C9">
      <w:pPr>
        <w:wordWrap w:val="0"/>
        <w:spacing w:line="302" w:lineRule="auto"/>
        <w:ind w:left="60" w:right="140" w:firstLine="820"/>
        <w:jc w:val="both"/>
        <w:rPr>
          <w:rFonts w:hint="eastAsia" w:ascii="仿宋" w:hAnsi="仿宋" w:eastAsia="仿宋" w:cs="仿宋"/>
          <w:sz w:val="32"/>
          <w:szCs w:val="32"/>
        </w:rPr>
      </w:pPr>
      <w:r>
        <w:rPr>
          <w:rFonts w:hint="eastAsia" w:ascii="仿宋" w:hAnsi="仿宋" w:eastAsia="仿宋" w:cs="仿宋"/>
          <w:color w:val="000000"/>
          <w:sz w:val="32"/>
          <w:szCs w:val="32"/>
        </w:rPr>
        <w:t>（1）资产配置合规性分数为2分，自评得分2分。中心办公设备配置未超过规定标准。</w:t>
      </w:r>
    </w:p>
    <w:p w14:paraId="6E924ACE">
      <w:pPr>
        <w:wordWrap w:val="0"/>
        <w:spacing w:line="240" w:lineRule="auto"/>
        <w:ind w:firstLine="0"/>
        <w:jc w:val="both"/>
        <w:rPr>
          <w:rFonts w:hint="eastAsia" w:ascii="仿宋" w:hAnsi="仿宋" w:eastAsia="仿宋" w:cs="仿宋"/>
          <w:color w:val="000000"/>
          <w:sz w:val="32"/>
          <w:szCs w:val="32"/>
        </w:rPr>
      </w:pPr>
    </w:p>
    <w:p w14:paraId="779FCD86">
      <w:pPr>
        <w:wordWrap w:val="0"/>
        <w:spacing w:line="292" w:lineRule="auto"/>
        <w:ind w:left="80" w:right="300" w:firstLine="780"/>
        <w:jc w:val="both"/>
        <w:rPr>
          <w:rFonts w:hint="eastAsia" w:ascii="仿宋" w:hAnsi="仿宋" w:eastAsia="仿宋" w:cs="仿宋"/>
          <w:sz w:val="32"/>
          <w:szCs w:val="32"/>
        </w:rPr>
      </w:pPr>
      <w:r>
        <w:rPr>
          <w:rFonts w:hint="eastAsia" w:ascii="仿宋" w:hAnsi="仿宋" w:eastAsia="仿宋" w:cs="仿宋"/>
          <w:color w:val="000000"/>
          <w:sz w:val="32"/>
          <w:szCs w:val="32"/>
        </w:rPr>
        <w:t>（2）资产收益上缴的及时性分数为1分，自评得分1分。中心2023年无资产处置收益。</w:t>
      </w:r>
    </w:p>
    <w:p w14:paraId="173A834B">
      <w:pPr>
        <w:wordWrap w:val="0"/>
        <w:spacing w:before="44" w:line="359" w:lineRule="auto"/>
        <w:ind w:left="60" w:right="120" w:firstLine="820"/>
        <w:jc w:val="both"/>
        <w:rPr>
          <w:rFonts w:hint="eastAsia" w:ascii="仿宋" w:hAnsi="仿宋" w:eastAsia="仿宋" w:cs="仿宋"/>
          <w:sz w:val="32"/>
          <w:szCs w:val="32"/>
        </w:rPr>
      </w:pPr>
      <w:r>
        <w:rPr>
          <w:rFonts w:hint="eastAsia" w:ascii="仿宋" w:hAnsi="仿宋" w:eastAsia="仿宋" w:cs="仿宋"/>
          <w:color w:val="000000"/>
          <w:sz w:val="32"/>
          <w:szCs w:val="32"/>
        </w:rPr>
        <w:t>（3）资产盘点情况分数为1分，自评得分1分。中心2023年有实施资产盘点工作。</w:t>
      </w:r>
    </w:p>
    <w:p w14:paraId="27E8BB3E">
      <w:pPr>
        <w:wordWrap w:val="0"/>
        <w:spacing w:before="14" w:line="359" w:lineRule="auto"/>
        <w:ind w:left="60" w:right="140" w:firstLine="820"/>
        <w:jc w:val="both"/>
        <w:rPr>
          <w:rFonts w:hint="eastAsia" w:ascii="仿宋" w:hAnsi="仿宋" w:eastAsia="仿宋" w:cs="仿宋"/>
          <w:sz w:val="32"/>
          <w:szCs w:val="32"/>
        </w:rPr>
      </w:pPr>
      <w:r>
        <w:rPr>
          <w:rFonts w:hint="eastAsia" w:ascii="仿宋" w:hAnsi="仿宋" w:eastAsia="仿宋" w:cs="仿宋"/>
          <w:color w:val="000000"/>
          <w:sz w:val="32"/>
          <w:szCs w:val="32"/>
        </w:rPr>
        <w:t>（4）数据质量分数为2分，自评得分2分。中心国有资产数据完整、准确，核实性问题均能提供有效、真实的说明，且资产张与财务账、资产实体相符。</w:t>
      </w:r>
    </w:p>
    <w:p w14:paraId="5206F757">
      <w:pPr>
        <w:wordWrap w:val="0"/>
        <w:spacing w:line="326" w:lineRule="auto"/>
        <w:ind w:left="60" w:right="140" w:firstLine="820"/>
        <w:jc w:val="both"/>
        <w:rPr>
          <w:rFonts w:hint="eastAsia" w:ascii="仿宋" w:hAnsi="仿宋" w:eastAsia="仿宋" w:cs="仿宋"/>
          <w:sz w:val="32"/>
          <w:szCs w:val="32"/>
        </w:rPr>
        <w:sectPr>
          <w:footerReference r:id="rId12" w:type="default"/>
          <w:type w:val="continuous"/>
          <w:pgSz w:w="11900" w:h="16820"/>
          <w:pgMar w:top="1680" w:right="1200" w:bottom="1200" w:left="1200" w:header="840" w:footer="600" w:gutter="0"/>
          <w:cols w:space="720" w:num="1"/>
        </w:sectPr>
      </w:pPr>
      <w:r>
        <w:rPr>
          <w:rFonts w:hint="eastAsia" w:ascii="仿宋" w:hAnsi="仿宋" w:eastAsia="仿宋" w:cs="仿宋"/>
          <w:color w:val="000000"/>
          <w:sz w:val="32"/>
          <w:szCs w:val="32"/>
        </w:rPr>
        <w:t>（5）资产管理合规性分数为2分，自评得分</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分。中心制定了行政事业性国有资产内部管理规程，</w:t>
      </w:r>
    </w:p>
    <w:p w14:paraId="00F8A876">
      <w:pPr>
        <w:wordWrap w:val="0"/>
        <w:spacing w:line="302" w:lineRule="auto"/>
        <w:ind w:right="140"/>
        <w:jc w:val="both"/>
        <w:rPr>
          <w:rFonts w:hint="eastAsia" w:ascii="仿宋" w:hAnsi="仿宋" w:eastAsia="仿宋" w:cs="仿宋"/>
          <w:sz w:val="32"/>
          <w:szCs w:val="32"/>
          <w:lang w:val="en-US" w:eastAsia="zh-CN"/>
        </w:rPr>
      </w:pPr>
      <w:r>
        <w:rPr>
          <w:rFonts w:hint="eastAsia" w:ascii="仿宋" w:hAnsi="仿宋" w:eastAsia="仿宋" w:cs="仿宋"/>
          <w:color w:val="000000"/>
          <w:sz w:val="32"/>
          <w:szCs w:val="32"/>
        </w:rPr>
        <w:t>在审计工作中发现资产管理存在</w:t>
      </w:r>
      <w:r>
        <w:rPr>
          <w:rFonts w:hint="eastAsia" w:ascii="仿宋" w:hAnsi="仿宋" w:eastAsia="仿宋" w:cs="仿宋"/>
          <w:color w:val="000000"/>
          <w:sz w:val="32"/>
          <w:szCs w:val="32"/>
          <w:lang w:val="en-US" w:eastAsia="zh-CN"/>
        </w:rPr>
        <w:t>部分相关管理的</w:t>
      </w:r>
      <w:r>
        <w:rPr>
          <w:rFonts w:hint="eastAsia" w:ascii="仿宋" w:hAnsi="仿宋" w:eastAsia="仿宋" w:cs="仿宋"/>
          <w:color w:val="000000"/>
          <w:sz w:val="32"/>
          <w:szCs w:val="32"/>
        </w:rPr>
        <w:t>问题</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扣1分</w:t>
      </w:r>
    </w:p>
    <w:p w14:paraId="57DA28D5">
      <w:pPr>
        <w:wordWrap w:val="0"/>
        <w:spacing w:line="359" w:lineRule="auto"/>
        <w:ind w:left="60" w:right="140" w:firstLine="820"/>
        <w:jc w:val="both"/>
        <w:rPr>
          <w:rFonts w:hint="eastAsia" w:ascii="仿宋" w:hAnsi="仿宋" w:eastAsia="仿宋" w:cs="仿宋"/>
          <w:sz w:val="32"/>
          <w:szCs w:val="32"/>
        </w:rPr>
      </w:pPr>
      <w:r>
        <w:rPr>
          <w:rFonts w:hint="eastAsia" w:ascii="仿宋" w:hAnsi="仿宋" w:eastAsia="仿宋" w:cs="仿宋"/>
          <w:color w:val="000000"/>
          <w:sz w:val="32"/>
          <w:szCs w:val="32"/>
        </w:rPr>
        <w:t>（6）固定资产利用率分数为2分，自评得分2分。中心固定资产整体使用效率较高。高于省直平均水平。部门实际在用固定资产总额与所有固定资产总额的比例=100%。</w:t>
      </w:r>
    </w:p>
    <w:p w14:paraId="3FC1795A">
      <w:pPr>
        <w:wordWrap w:val="0"/>
        <w:spacing w:before="18" w:line="359" w:lineRule="auto"/>
        <w:ind w:firstLine="680"/>
        <w:jc w:val="both"/>
        <w:rPr>
          <w:rFonts w:hint="eastAsia" w:ascii="仿宋" w:hAnsi="仿宋" w:eastAsia="仿宋" w:cs="仿宋"/>
          <w:sz w:val="32"/>
          <w:szCs w:val="32"/>
        </w:rPr>
      </w:pPr>
      <w:r>
        <w:rPr>
          <w:rFonts w:hint="eastAsia" w:ascii="仿宋" w:hAnsi="仿宋" w:eastAsia="仿宋" w:cs="仿宋"/>
          <w:color w:val="000000"/>
          <w:sz w:val="32"/>
          <w:szCs w:val="32"/>
        </w:rPr>
        <w:t>7、运行成本总分3分，自评得分</w:t>
      </w: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分</w:t>
      </w:r>
    </w:p>
    <w:p w14:paraId="257BF39A">
      <w:pPr>
        <w:wordWrap w:val="0"/>
        <w:spacing w:line="239" w:lineRule="auto"/>
        <w:ind w:firstLine="840"/>
        <w:jc w:val="both"/>
        <w:rPr>
          <w:rFonts w:hint="eastAsia" w:ascii="仿宋" w:hAnsi="仿宋" w:eastAsia="仿宋" w:cs="仿宋"/>
          <w:sz w:val="32"/>
          <w:szCs w:val="32"/>
        </w:rPr>
      </w:pPr>
      <w:r>
        <w:rPr>
          <w:rFonts w:hint="eastAsia" w:ascii="仿宋" w:hAnsi="仿宋" w:eastAsia="仿宋" w:cs="仿宋"/>
          <w:color w:val="000000"/>
          <w:sz w:val="32"/>
          <w:szCs w:val="32"/>
        </w:rPr>
        <w:t>（1）经济成本控制情况分数为2分，自评得分</w:t>
      </w: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分。</w:t>
      </w:r>
    </w:p>
    <w:p w14:paraId="415CEC47">
      <w:pPr>
        <w:wordWrap w:val="0"/>
        <w:spacing w:line="240" w:lineRule="auto"/>
        <w:ind w:firstLine="0"/>
        <w:jc w:val="both"/>
        <w:rPr>
          <w:rFonts w:hint="eastAsia" w:ascii="仿宋" w:hAnsi="仿宋" w:eastAsia="仿宋" w:cs="仿宋"/>
          <w:color w:val="000000"/>
          <w:sz w:val="32"/>
          <w:szCs w:val="32"/>
        </w:rPr>
      </w:pPr>
    </w:p>
    <w:p w14:paraId="54E5F6ED">
      <w:pPr>
        <w:wordWrap w:val="0"/>
        <w:spacing w:line="292" w:lineRule="auto"/>
        <w:ind w:left="20" w:right="140" w:firstLine="660"/>
        <w:jc w:val="both"/>
        <w:rPr>
          <w:rFonts w:hint="eastAsia" w:ascii="仿宋" w:hAnsi="仿宋" w:eastAsia="仿宋" w:cs="仿宋"/>
          <w:color w:val="000000"/>
          <w:sz w:val="32"/>
          <w:szCs w:val="32"/>
        </w:rPr>
      </w:pPr>
      <w:r>
        <w:rPr>
          <w:rFonts w:hint="eastAsia" w:ascii="仿宋" w:hAnsi="仿宋" w:eastAsia="仿宋" w:cs="仿宋"/>
          <w:color w:val="000000"/>
          <w:sz w:val="32"/>
          <w:szCs w:val="32"/>
        </w:rPr>
        <w:t>省财政厅提供基础数据计算：（</w:t>
      </w:r>
      <w:r>
        <w:rPr>
          <w:rFonts w:hint="eastAsia" w:ascii="仿宋" w:hAnsi="仿宋" w:eastAsia="仿宋" w:cs="仿宋"/>
          <w:color w:val="000000"/>
          <w:sz w:val="32"/>
          <w:szCs w:val="32"/>
          <w:lang w:val="en-US" w:eastAsia="zh-CN"/>
        </w:rPr>
        <w:t>7.8</w:t>
      </w:r>
      <w:r>
        <w:rPr>
          <w:rFonts w:hint="eastAsia" w:ascii="仿宋" w:hAnsi="仿宋" w:eastAsia="仿宋" w:cs="仿宋"/>
          <w:color w:val="000000"/>
          <w:sz w:val="32"/>
          <w:szCs w:val="32"/>
        </w:rPr>
        <w:t>／10）x2＝1.12，自评得分2分。</w:t>
      </w:r>
    </w:p>
    <w:p w14:paraId="62DF5D13">
      <w:pPr>
        <w:wordWrap w:val="0"/>
        <w:spacing w:line="360" w:lineRule="auto"/>
        <w:ind w:firstLine="740"/>
        <w:jc w:val="both"/>
        <w:rPr>
          <w:rFonts w:hint="eastAsia" w:ascii="仿宋" w:hAnsi="仿宋" w:eastAsia="仿宋" w:cs="仿宋"/>
          <w:sz w:val="32"/>
          <w:szCs w:val="32"/>
        </w:rPr>
      </w:pPr>
      <w:r>
        <w:rPr>
          <w:rFonts w:hint="eastAsia" w:ascii="仿宋" w:hAnsi="仿宋" w:eastAsia="仿宋" w:cs="仿宋"/>
          <w:color w:val="000000"/>
          <w:sz w:val="32"/>
          <w:szCs w:val="32"/>
        </w:rPr>
        <w:t>（2）“三公”经费控制情况分数为1分，自评得分1分。</w:t>
      </w:r>
    </w:p>
    <w:p w14:paraId="0761A29E">
      <w:pPr>
        <w:wordWrap w:val="0"/>
        <w:spacing w:line="360" w:lineRule="auto"/>
        <w:ind w:firstLine="640" w:firstLineChars="200"/>
        <w:jc w:val="both"/>
        <w:rPr>
          <w:rFonts w:hint="eastAsia" w:ascii="仿宋" w:hAnsi="仿宋" w:eastAsia="仿宋" w:cs="仿宋"/>
          <w:color w:val="000000"/>
          <w:sz w:val="32"/>
          <w:szCs w:val="32"/>
        </w:rPr>
      </w:pPr>
      <w:r>
        <w:rPr>
          <w:rFonts w:hint="eastAsia" w:ascii="仿宋" w:hAnsi="仿宋" w:eastAsia="仿宋" w:cs="仿宋"/>
          <w:sz w:val="32"/>
          <w:szCs w:val="32"/>
          <w:lang w:val="en-US" w:eastAsia="zh-CN"/>
        </w:rPr>
        <w:t>2023</w:t>
      </w:r>
      <w:r>
        <w:rPr>
          <w:rFonts w:hint="eastAsia" w:ascii="仿宋" w:hAnsi="仿宋" w:eastAsia="仿宋" w:cs="仿宋"/>
          <w:sz w:val="32"/>
          <w:szCs w:val="32"/>
        </w:rPr>
        <w:t>年度“三公”经费财政拨款支出决算中，因公出国 （境）费356.6万元，占97.6%；公务用车购置及运行维护费支出 8.64万元，占2.4%；公务接待费支出0.14万元，占0%。</w:t>
      </w:r>
    </w:p>
    <w:p w14:paraId="2FA0A585">
      <w:pPr>
        <w:wordWrap w:val="0"/>
        <w:spacing w:line="360" w:lineRule="auto"/>
        <w:ind w:left="20" w:right="220" w:firstLine="700"/>
        <w:jc w:val="both"/>
        <w:rPr>
          <w:rFonts w:hint="eastAsia" w:ascii="仿宋" w:hAnsi="仿宋" w:eastAsia="仿宋" w:cs="仿宋"/>
          <w:color w:val="000000"/>
          <w:sz w:val="32"/>
          <w:szCs w:val="32"/>
        </w:rPr>
      </w:pPr>
      <w:r>
        <w:rPr>
          <w:rFonts w:hint="eastAsia" w:ascii="仿宋" w:hAnsi="仿宋" w:eastAsia="仿宋" w:cs="仿宋"/>
          <w:color w:val="000000"/>
          <w:sz w:val="32"/>
          <w:szCs w:val="32"/>
        </w:rPr>
        <w:t>在预算编制方面，中心及时完成预算编制和上报工作，严格按规定的时限向社会公开预算、决算资料；预算执行方面，中心按实际情况对预算进行调整，并严格按调整后的预算数执行。同时，遵守国家财经法规和财务管理制度及有关专项资金管理办法的规定，规范资金支出范围、程序、用途和核算；信息公开及绩效管理方面，中心建立了评价结果与预算编制挂钩机制，将评价结果与所属预算单位预算安排相结合，且绩效目标、绩效自评资料及年度预算决算资料均在规定时间内予以公开；</w:t>
      </w:r>
    </w:p>
    <w:p w14:paraId="2E3502DB">
      <w:pPr>
        <w:wordWrap w:val="0"/>
        <w:spacing w:line="360" w:lineRule="auto"/>
        <w:ind w:left="20" w:right="220" w:firstLine="700"/>
        <w:jc w:val="both"/>
        <w:rPr>
          <w:rFonts w:hint="eastAsia" w:ascii="仿宋" w:hAnsi="仿宋" w:eastAsia="仿宋" w:cs="仿宋"/>
          <w:sz w:val="32"/>
          <w:szCs w:val="32"/>
        </w:rPr>
      </w:pPr>
      <w:r>
        <w:rPr>
          <w:rFonts w:hint="eastAsia" w:ascii="仿宋" w:hAnsi="仿宋" w:eastAsia="仿宋" w:cs="仿宋"/>
          <w:sz w:val="32"/>
          <w:szCs w:val="32"/>
        </w:rPr>
        <w:t>2023年度本单位政府采购支出总额1,404.17万元，其中：政 府采购货物支出570.08万元、政府采购工程支出322.8万元、政府 采购服务支出511.29万元。授予中小企业合同金额1,404.17万 元，占政府采购支出总额的100%，其中：授予小微企业合同金额 1,056.12万元，占授予中小企业合同金额的75.2%；货物采购授予 中小企业合同金额占货物支出金额的100%，工程采购授予中小企 业合同金额占工程支出金额的100%，服务采购授予中小企业合同 金额占服务支出金额的100%。</w:t>
      </w:r>
    </w:p>
    <w:p w14:paraId="05E1B65B">
      <w:pPr>
        <w:wordWrap w:val="0"/>
        <w:spacing w:line="360" w:lineRule="auto"/>
        <w:ind w:firstLine="640" w:firstLineChars="200"/>
        <w:jc w:val="both"/>
        <w:rPr>
          <w:rFonts w:hint="eastAsia" w:ascii="仿宋" w:hAnsi="仿宋" w:eastAsia="仿宋" w:cs="仿宋"/>
          <w:color w:val="000000"/>
          <w:sz w:val="32"/>
          <w:szCs w:val="32"/>
        </w:rPr>
      </w:pPr>
      <w:r>
        <w:rPr>
          <w:rFonts w:hint="eastAsia" w:ascii="仿宋" w:hAnsi="仿宋" w:eastAsia="仿宋" w:cs="仿宋"/>
          <w:sz w:val="32"/>
          <w:szCs w:val="32"/>
        </w:rPr>
        <w:t>截至2023年12月31日，本单位共有车辆5辆，其中，其他用车 5辆，其他用车主要是用于队伍训练比赛的后勤保障用车，主要是 皮卡车2辆及小面包车1辆，50铃货车1辆及小轿车1辆；单位价值 100万元以上设备（不含车辆）2台（套）。</w:t>
      </w:r>
    </w:p>
    <w:p w14:paraId="54575135">
      <w:pPr>
        <w:wordWrap w:val="0"/>
        <w:spacing w:line="254" w:lineRule="auto"/>
        <w:ind w:firstLine="800"/>
        <w:jc w:val="both"/>
        <w:rPr>
          <w:rFonts w:hint="eastAsia" w:ascii="仿宋" w:hAnsi="仿宋" w:eastAsia="仿宋" w:cs="仿宋"/>
          <w:sz w:val="32"/>
          <w:szCs w:val="32"/>
        </w:rPr>
      </w:pPr>
      <w:r>
        <w:rPr>
          <w:rFonts w:hint="eastAsia" w:ascii="仿宋" w:hAnsi="仿宋" w:eastAsia="仿宋" w:cs="仿宋"/>
          <w:b/>
          <w:color w:val="000000"/>
          <w:sz w:val="32"/>
          <w:szCs w:val="32"/>
        </w:rPr>
        <w:t>（四）就部门整体支出绩效管理存在问题提出改进措施</w:t>
      </w:r>
    </w:p>
    <w:p w14:paraId="4CD85323">
      <w:pPr>
        <w:wordWrap w:val="0"/>
        <w:spacing w:line="359" w:lineRule="auto"/>
        <w:ind w:firstLine="840"/>
        <w:jc w:val="both"/>
        <w:rPr>
          <w:rFonts w:hint="eastAsia" w:ascii="仿宋" w:hAnsi="仿宋" w:eastAsia="仿宋" w:cs="仿宋"/>
          <w:b/>
          <w:color w:val="000000"/>
          <w:sz w:val="32"/>
          <w:szCs w:val="32"/>
        </w:rPr>
      </w:pPr>
      <w:r>
        <w:rPr>
          <w:rFonts w:hint="eastAsia" w:ascii="仿宋" w:hAnsi="仿宋" w:eastAsia="仿宋" w:cs="仿宋"/>
          <w:sz w:val="32"/>
          <w:szCs w:val="32"/>
        </w:rPr>
        <w:t>发现的问题：一是项目发展方式创新驱动不足，具有国际影响力的优势项目、领军式运动员还不够多，运动员单兵作战能力不强、兼项能力不够的问题也还未能得到根本性解决。二是预算管理不到位，在预算的执行过程中，未将预算编制工作做细、做实。下一步改进措施主要是：一是扎实推进备战训练工作。全面强化运动队党建引领，以“三铁三硬”为标准，打造能征善战、作风优良的备战队伍；巩固人才优势，提升科技优势，打造赛事优势，全面提升备战训练水平和效益。二是加强学习，提高业务水平，规范高效的预算开支，提高招标或部门采购的速度。加快进度，完善相关手续，合理合法进行采购及支付，财务人员靠前服务，直接跟队到赛区，直接结账服务，协助队伍及部门整理报销凭证，尽快完成报账手续，加快支付进度。</w:t>
      </w:r>
    </w:p>
    <w:p w14:paraId="38C6AF59">
      <w:pPr>
        <w:wordWrap w:val="0"/>
        <w:spacing w:line="240" w:lineRule="auto"/>
        <w:ind w:firstLine="0"/>
        <w:jc w:val="both"/>
        <w:rPr>
          <w:rFonts w:hint="eastAsia" w:ascii="仿宋" w:hAnsi="仿宋" w:eastAsia="仿宋" w:cs="仿宋"/>
          <w:color w:val="000000"/>
          <w:sz w:val="32"/>
          <w:szCs w:val="32"/>
        </w:rPr>
      </w:pPr>
    </w:p>
    <w:p w14:paraId="0EF81C40">
      <w:pPr>
        <w:wordWrap w:val="0"/>
        <w:spacing w:line="249" w:lineRule="auto"/>
        <w:ind w:firstLine="680"/>
        <w:jc w:val="both"/>
        <w:rPr>
          <w:rFonts w:hint="eastAsia" w:ascii="仿宋" w:hAnsi="仿宋" w:eastAsia="仿宋" w:cs="仿宋"/>
          <w:sz w:val="32"/>
          <w:szCs w:val="32"/>
        </w:rPr>
      </w:pPr>
      <w:r>
        <w:rPr>
          <w:rFonts w:hint="eastAsia" w:ascii="仿宋" w:hAnsi="仿宋" w:eastAsia="仿宋" w:cs="仿宋"/>
          <w:b/>
          <w:color w:val="000000"/>
          <w:sz w:val="32"/>
          <w:szCs w:val="32"/>
        </w:rPr>
        <w:t>三、其他自评情况</w:t>
      </w:r>
    </w:p>
    <w:p w14:paraId="1B3CE1F6">
      <w:pPr>
        <w:wordWrap w:val="0"/>
        <w:spacing w:before="7" w:line="359" w:lineRule="auto"/>
        <w:ind w:firstLine="720"/>
        <w:jc w:val="both"/>
        <w:rPr>
          <w:rFonts w:hint="eastAsia" w:ascii="仿宋" w:hAnsi="仿宋" w:eastAsia="仿宋" w:cs="仿宋"/>
          <w:sz w:val="32"/>
          <w:szCs w:val="32"/>
        </w:rPr>
      </w:pPr>
      <w:r>
        <w:rPr>
          <w:rFonts w:hint="eastAsia" w:ascii="仿宋" w:hAnsi="仿宋" w:eastAsia="仿宋" w:cs="仿宋"/>
          <w:color w:val="000000"/>
          <w:sz w:val="32"/>
          <w:szCs w:val="32"/>
        </w:rPr>
        <w:t>无。</w:t>
      </w:r>
    </w:p>
    <w:p w14:paraId="4B5661DD">
      <w:pPr>
        <w:wordWrap w:val="0"/>
        <w:spacing w:line="249" w:lineRule="auto"/>
        <w:ind w:firstLine="680"/>
        <w:jc w:val="both"/>
        <w:rPr>
          <w:rFonts w:hint="eastAsia" w:ascii="仿宋" w:hAnsi="仿宋" w:eastAsia="仿宋" w:cs="仿宋"/>
          <w:sz w:val="32"/>
          <w:szCs w:val="32"/>
        </w:rPr>
      </w:pPr>
      <w:r>
        <w:rPr>
          <w:rFonts w:hint="eastAsia" w:ascii="仿宋" w:hAnsi="仿宋" w:eastAsia="仿宋" w:cs="仿宋"/>
          <w:b/>
          <w:color w:val="000000"/>
          <w:sz w:val="32"/>
          <w:szCs w:val="32"/>
        </w:rPr>
        <w:t>四、上年度绩效自评整改情况</w:t>
      </w:r>
    </w:p>
    <w:p w14:paraId="2E5D76B9">
      <w:pPr>
        <w:wordWrap w:val="0"/>
        <w:spacing w:line="240" w:lineRule="auto"/>
        <w:ind w:firstLine="0"/>
        <w:jc w:val="both"/>
        <w:rPr>
          <w:rFonts w:hint="eastAsia" w:ascii="仿宋" w:hAnsi="仿宋" w:eastAsia="仿宋" w:cs="仿宋"/>
          <w:color w:val="000000"/>
          <w:sz w:val="32"/>
          <w:szCs w:val="32"/>
        </w:rPr>
      </w:pPr>
    </w:p>
    <w:p w14:paraId="18AA73F4">
      <w:pPr>
        <w:wordWrap w:val="0"/>
        <w:spacing w:line="336" w:lineRule="auto"/>
        <w:ind w:left="20" w:right="20" w:firstLine="660"/>
        <w:jc w:val="both"/>
        <w:rPr>
          <w:rFonts w:hint="eastAsia" w:ascii="仿宋" w:hAnsi="仿宋" w:eastAsia="仿宋" w:cs="仿宋"/>
          <w:sz w:val="32"/>
          <w:szCs w:val="32"/>
        </w:rPr>
      </w:pPr>
      <w:r>
        <w:rPr>
          <w:rFonts w:hint="eastAsia" w:ascii="仿宋" w:hAnsi="仿宋" w:eastAsia="仿宋" w:cs="仿宋"/>
          <w:color w:val="000000"/>
          <w:sz w:val="32"/>
          <w:szCs w:val="32"/>
          <w:lang w:val="en-US" w:eastAsia="zh-CN"/>
        </w:rPr>
        <w:t>无</w:t>
      </w:r>
      <w:r>
        <w:rPr>
          <w:rFonts w:hint="eastAsia" w:ascii="仿宋" w:hAnsi="仿宋" w:eastAsia="仿宋" w:cs="仿宋"/>
          <w:color w:val="000000"/>
          <w:sz w:val="32"/>
          <w:szCs w:val="32"/>
        </w:rPr>
        <w:t>。</w:t>
      </w:r>
    </w:p>
    <w:sectPr>
      <w:footerReference r:id="rId13" w:type="default"/>
      <w:type w:val="continuous"/>
      <w:pgSz w:w="11900" w:h="16820"/>
      <w:pgMar w:top="1680" w:right="1200" w:bottom="2880" w:left="1200" w:header="840" w:footer="144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ABC18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EEC7D">
    <w:pPr>
      <w:spacing w:line="407" w:lineRule="auto"/>
      <w:ind w:firstLine="0"/>
      <w:jc w:val="right"/>
    </w:pPr>
    <w:r>
      <w:rPr>
        <w:rFonts w:hint="eastAsia" w:ascii="Calibri" w:hAnsi="Calibri" w:eastAsia="Calibri"/>
        <w:color w:val="000000"/>
        <w:sz w:val="22"/>
      </w:rPr>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609D35">
    <w:pPr>
      <w:spacing w:line="359" w:lineRule="auto"/>
      <w:ind w:firstLine="0"/>
      <w:jc w:val="right"/>
    </w:pPr>
    <w:r>
      <w:rPr>
        <w:rFonts w:hint="eastAsia" w:ascii="Calibri" w:hAnsi="Calibri" w:eastAsia="Calibri"/>
        <w:color w:val="000000"/>
        <w:sz w:val="19"/>
      </w:rPr>
      <w:t>11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604A2B">
    <w:pPr>
      <w:spacing w:line="408" w:lineRule="auto"/>
      <w:ind w:firstLine="0"/>
      <w:jc w:val="right"/>
    </w:pPr>
    <w:r>
      <w:rPr>
        <w:rFonts w:hint="eastAsia" w:ascii="Calibri" w:hAnsi="Calibri" w:eastAsia="Calibri"/>
        <w:color w:val="000000"/>
        <w:sz w:val="19"/>
      </w:rPr>
      <w:t>15</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06ECE">
    <w:pPr>
      <w:spacing w:line="408" w:lineRule="auto"/>
      <w:ind w:firstLine="0"/>
      <w:jc w:val="right"/>
    </w:pPr>
    <w:r>
      <w:rPr>
        <w:rFonts w:hint="eastAsia" w:ascii="Calibri" w:hAnsi="Calibri" w:eastAsia="Calibri"/>
        <w:color w:val="000000"/>
        <w:sz w:val="19"/>
      </w:rPr>
      <w:t>16</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900CD1">
    <w:pPr>
      <w:spacing w:line="359" w:lineRule="auto"/>
      <w:ind w:firstLine="0"/>
      <w:jc w:val="right"/>
    </w:pPr>
    <w:r>
      <w:rPr>
        <w:rFonts w:hint="eastAsia" w:ascii="Calibri" w:hAnsi="Calibri" w:eastAsia="Calibri"/>
        <w:color w:val="000000"/>
        <w:sz w:val="19"/>
      </w:rPr>
      <w:t>17</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58A0C">
    <w:pPr>
      <w:spacing w:line="408" w:lineRule="auto"/>
      <w:ind w:firstLine="0"/>
      <w:jc w:val="right"/>
    </w:pPr>
    <w:r>
      <w:rPr>
        <w:rFonts w:hint="eastAsia" w:ascii="Calibri" w:hAnsi="Calibri" w:eastAsia="Calibri"/>
        <w:color w:val="000000"/>
        <w:sz w:val="19"/>
      </w:rPr>
      <w:t>18</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01F222">
    <w:pPr>
      <w:spacing w:line="359" w:lineRule="auto"/>
      <w:ind w:firstLine="0"/>
      <w:jc w:val="right"/>
    </w:pPr>
    <w:r>
      <w:rPr>
        <w:rFonts w:hint="eastAsia" w:ascii="Calibri" w:hAnsi="Calibri" w:eastAsia="Calibri"/>
        <w:color w:val="000000"/>
        <w:sz w:val="19"/>
      </w:rPr>
      <w:t>19</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9C299">
    <w:pPr>
      <w:spacing w:line="408" w:lineRule="auto"/>
      <w:ind w:firstLine="0"/>
      <w:jc w:val="right"/>
    </w:pPr>
    <w:r>
      <w:rPr>
        <w:rFonts w:hint="eastAsia" w:ascii="Calibri" w:hAnsi="Calibri" w:eastAsia="Calibri"/>
        <w:color w:val="000000"/>
        <w:sz w:val="19"/>
      </w:rPr>
      <w:t>23</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561E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CFA9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144051"/>
    <w:multiLevelType w:val="singleLevel"/>
    <w:tmpl w:val="91144051"/>
    <w:lvl w:ilvl="0" w:tentative="0">
      <w:start w:val="3"/>
      <w:numFmt w:val="chineseCounting"/>
      <w:suff w:val="nothing"/>
      <w:lvlText w:val="（%1）"/>
      <w:lvlJc w:val="left"/>
      <w:rPr>
        <w:rFonts w:hint="eastAsia"/>
      </w:rPr>
    </w:lvl>
  </w:abstractNum>
  <w:abstractNum w:abstractNumId="1">
    <w:nsid w:val="19FF1FA0"/>
    <w:multiLevelType w:val="singleLevel"/>
    <w:tmpl w:val="19FF1FA0"/>
    <w:lvl w:ilvl="0" w:tentative="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c4Y2NhNDUzNjZkOWZjZTA0MTA3YzVlN2ExYzU1YTUifQ=="/>
  </w:docVars>
  <w:rsids>
    <w:rsidRoot w:val="00BD0BC8"/>
    <w:rsid w:val="000D6051"/>
    <w:rsid w:val="009F0BE0"/>
    <w:rsid w:val="00BA6D97"/>
    <w:rsid w:val="00BD0BC8"/>
    <w:rsid w:val="04370386"/>
    <w:rsid w:val="1BA321BB"/>
    <w:rsid w:val="3A3448FD"/>
    <w:rsid w:val="3E86299B"/>
    <w:rsid w:val="446436B9"/>
    <w:rsid w:val="4E850579"/>
    <w:rsid w:val="593278D1"/>
    <w:rsid w:val="5F9D2E92"/>
    <w:rsid w:val="70644864"/>
    <w:rsid w:val="7A5C5C3F"/>
    <w:rsid w:val="7C9079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2"/>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theme" Target="theme/theme1.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14</Pages>
  <Words>6847</Words>
  <Characters>7785</Characters>
  <TotalTime>2</TotalTime>
  <ScaleCrop>false</ScaleCrop>
  <LinksUpToDate>false</LinksUpToDate>
  <CharactersWithSpaces>7797</CharactersWithSpaces>
  <Application>WPS Office_12.1.0.17827_F1E327BC-269C-435d-A152-05C5408002CA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2024-08-26T03:45:00Z</dcterms:created>
  <dc:creator>INTSIG</dc:creator>
  <dc:description>Intsig Word Converter</dc:description>
  <cp:lastModifiedBy>吴锡毫</cp:lastModifiedBy>
  <dcterms:modified xsi:type="dcterms:W3CDTF">2024-08-27T02:48:39Z</dcterms:modified>
  <dc:title>wordbuilder</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5D4D2AD1A8E4400A88B1DEA7908C329B_12</vt:lpwstr>
  </property>
</Properties>
</file>