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800" w:lineRule="exact"/>
        <w:jc w:val="center"/>
        <w:textAlignment w:val="auto"/>
        <w:outlineLvl w:val="9"/>
        <w:rPr>
          <w:rFonts w:hint="eastAsia" w:ascii="方正小标宋简体" w:hAnsi="华文中宋" w:eastAsia="方正小标宋简体" w:cs="Times New Roman"/>
          <w:b w:val="0"/>
          <w:bCs w:val="0"/>
          <w:snapToGrid/>
          <w:color w:val="auto"/>
          <w:spacing w:val="0"/>
          <w:kern w:val="2"/>
          <w:sz w:val="44"/>
          <w:szCs w:val="44"/>
          <w:lang w:val="en-US" w:eastAsia="zh-CN" w:bidi="ar-SA"/>
        </w:rPr>
      </w:pPr>
      <w:r>
        <w:rPr>
          <w:rFonts w:hint="eastAsia" w:ascii="方正小标宋简体" w:hAnsi="华文中宋" w:eastAsia="方正小标宋简体" w:cs="Times New Roman"/>
          <w:b w:val="0"/>
          <w:bCs w:val="0"/>
          <w:snapToGrid/>
          <w:color w:val="auto"/>
          <w:spacing w:val="0"/>
          <w:kern w:val="2"/>
          <w:sz w:val="44"/>
          <w:szCs w:val="44"/>
          <w:lang w:val="en-US" w:eastAsia="zh-CN" w:bidi="ar-SA"/>
        </w:rPr>
        <w:t>广东省运动员技术等级管理办法实施细则</w:t>
      </w:r>
    </w:p>
    <w:p>
      <w:pPr>
        <w:keepNext w:val="0"/>
        <w:keepLines w:val="0"/>
        <w:pageBreakBefore w:val="0"/>
        <w:widowControl w:val="0"/>
        <w:kinsoku/>
        <w:wordWrap/>
        <w:overflowPunct/>
        <w:topLinePunct w:val="0"/>
        <w:autoSpaceDE/>
        <w:autoSpaceDN/>
        <w:bidi w:val="0"/>
        <w:adjustRightInd/>
        <w:snapToGrid w:val="0"/>
        <w:spacing w:line="800" w:lineRule="exact"/>
        <w:jc w:val="center"/>
        <w:textAlignment w:val="auto"/>
        <w:outlineLvl w:val="9"/>
        <w:rPr>
          <w:rFonts w:hint="eastAsia" w:ascii="方正仿宋_GBK" w:hAnsi="方正仿宋_GBK" w:eastAsia="方正仿宋_GBK" w:cs="方正仿宋_GBK"/>
          <w:b w:val="0"/>
          <w:bCs w:val="0"/>
          <w:snapToGrid/>
          <w:color w:val="auto"/>
          <w:spacing w:val="0"/>
          <w:kern w:val="2"/>
          <w:sz w:val="36"/>
          <w:szCs w:val="36"/>
          <w:lang w:val="en-US" w:eastAsia="zh-CN" w:bidi="ar-SA"/>
        </w:rPr>
      </w:pPr>
      <w:r>
        <w:rPr>
          <w:rFonts w:hint="eastAsia" w:ascii="方正仿宋_GBK" w:hAnsi="方正仿宋_GBK" w:eastAsia="方正仿宋_GBK" w:cs="方正仿宋_GBK"/>
          <w:b w:val="0"/>
          <w:bCs w:val="0"/>
          <w:snapToGrid/>
          <w:color w:val="auto"/>
          <w:spacing w:val="0"/>
          <w:kern w:val="2"/>
          <w:sz w:val="36"/>
          <w:szCs w:val="36"/>
          <w:lang w:val="en-US" w:eastAsia="zh-CN" w:bidi="ar-SA"/>
        </w:rPr>
        <w:t>（征求意见稿）</w:t>
      </w:r>
    </w:p>
    <w:p>
      <w:pPr>
        <w:keepNext w:val="0"/>
        <w:keepLines w:val="0"/>
        <w:pageBreakBefore w:val="0"/>
        <w:widowControl w:val="0"/>
        <w:kinsoku/>
        <w:wordWrap/>
        <w:overflowPunct/>
        <w:topLinePunct w:val="0"/>
        <w:autoSpaceDE/>
        <w:autoSpaceDN/>
        <w:bidi w:val="0"/>
        <w:adjustRightInd/>
        <w:snapToGrid w:val="0"/>
        <w:spacing w:line="800" w:lineRule="exact"/>
        <w:jc w:val="center"/>
        <w:textAlignment w:val="auto"/>
        <w:outlineLvl w:val="9"/>
        <w:rPr>
          <w:rFonts w:hint="eastAsia" w:ascii="方正仿宋_GBK" w:hAnsi="方正仿宋_GBK" w:eastAsia="方正仿宋_GBK" w:cs="方正仿宋_GBK"/>
          <w:b w:val="0"/>
          <w:bCs w:val="0"/>
          <w:snapToGrid/>
          <w:color w:val="auto"/>
          <w:spacing w:val="0"/>
          <w:kern w:val="2"/>
          <w:sz w:val="36"/>
          <w:szCs w:val="36"/>
          <w:lang w:val="en-US" w:eastAsia="zh-CN" w:bidi="ar-SA"/>
        </w:rPr>
      </w:pPr>
    </w:p>
    <w:p>
      <w:pPr>
        <w:keepNext w:val="0"/>
        <w:keepLines w:val="0"/>
        <w:pageBreakBefore w:val="0"/>
        <w:widowControl w:val="0"/>
        <w:kinsoku/>
        <w:wordWrap/>
        <w:overflowPunct/>
        <w:topLinePunct w:val="0"/>
        <w:autoSpaceDE/>
        <w:autoSpaceDN/>
        <w:bidi w:val="0"/>
        <w:adjustRightInd/>
        <w:snapToGrid/>
        <w:spacing w:before="0" w:line="360" w:lineRule="auto"/>
        <w:ind w:left="0"/>
        <w:jc w:val="center"/>
        <w:textAlignment w:val="auto"/>
        <w:outlineLvl w:val="9"/>
        <w:rPr>
          <w:rFonts w:ascii="黑体" w:hAnsi="黑体" w:eastAsia="黑体" w:cs="黑体"/>
          <w:color w:val="auto"/>
          <w:sz w:val="32"/>
          <w:szCs w:val="32"/>
        </w:rPr>
      </w:pPr>
      <w:r>
        <w:rPr>
          <w:rFonts w:ascii="黑体" w:hAnsi="黑体" w:eastAsia="黑体" w:cs="黑体"/>
          <w:b w:val="0"/>
          <w:bCs w:val="0"/>
          <w:color w:val="auto"/>
          <w:spacing w:val="-5"/>
          <w:sz w:val="32"/>
          <w:szCs w:val="32"/>
        </w:rPr>
        <w:t>第一章</w:t>
      </w:r>
      <w:r>
        <w:rPr>
          <w:rFonts w:ascii="黑体" w:hAnsi="黑体" w:eastAsia="黑体" w:cs="黑体"/>
          <w:b w:val="0"/>
          <w:bCs w:val="0"/>
          <w:color w:val="auto"/>
          <w:spacing w:val="154"/>
          <w:sz w:val="32"/>
          <w:szCs w:val="32"/>
        </w:rPr>
        <w:t xml:space="preserve"> </w:t>
      </w:r>
      <w:r>
        <w:rPr>
          <w:rFonts w:ascii="黑体" w:hAnsi="黑体" w:eastAsia="黑体" w:cs="黑体"/>
          <w:b w:val="0"/>
          <w:bCs w:val="0"/>
          <w:color w:val="auto"/>
          <w:spacing w:val="-5"/>
          <w:sz w:val="32"/>
          <w:szCs w:val="32"/>
        </w:rPr>
        <w:t>总</w:t>
      </w:r>
      <w:r>
        <w:rPr>
          <w:rFonts w:ascii="黑体" w:hAnsi="黑体" w:eastAsia="黑体" w:cs="黑体"/>
          <w:b w:val="0"/>
          <w:bCs w:val="0"/>
          <w:color w:val="auto"/>
          <w:spacing w:val="66"/>
          <w:sz w:val="32"/>
          <w:szCs w:val="32"/>
        </w:rPr>
        <w:t xml:space="preserve"> </w:t>
      </w:r>
      <w:r>
        <w:rPr>
          <w:rFonts w:ascii="黑体" w:hAnsi="黑体" w:eastAsia="黑体" w:cs="黑体"/>
          <w:b w:val="0"/>
          <w:bCs w:val="0"/>
          <w:color w:val="auto"/>
          <w:spacing w:val="-5"/>
          <w:sz w:val="32"/>
          <w:szCs w:val="32"/>
        </w:rPr>
        <w:t>则</w:t>
      </w:r>
    </w:p>
    <w:p>
      <w:pPr>
        <w:keepNext w:val="0"/>
        <w:keepLines w:val="0"/>
        <w:pageBreakBefore w:val="0"/>
        <w:widowControl w:val="0"/>
        <w:kinsoku/>
        <w:wordWrap/>
        <w:overflowPunct/>
        <w:topLinePunct w:val="0"/>
        <w:autoSpaceDE/>
        <w:autoSpaceDN/>
        <w:bidi w:val="0"/>
        <w:adjustRightInd/>
        <w:snapToGrid/>
        <w:spacing w:before="0" w:line="360" w:lineRule="auto"/>
        <w:ind w:right="0" w:firstLine="640" w:firstLineChars="200"/>
        <w:jc w:val="both"/>
        <w:textAlignment w:val="auto"/>
        <w:outlineLvl w:val="9"/>
        <w:rPr>
          <w:rFonts w:ascii="宋体" w:hAnsi="宋体" w:eastAsia="宋体" w:cs="宋体"/>
          <w:color w:val="auto"/>
          <w:spacing w:val="-1"/>
          <w:sz w:val="31"/>
          <w:szCs w:val="31"/>
        </w:rPr>
      </w:pPr>
      <w:r>
        <w:rPr>
          <w:rFonts w:hint="eastAsia" w:ascii="黑体" w:hAnsi="黑体" w:eastAsia="黑体" w:cs="黑体"/>
          <w:b w:val="0"/>
          <w:bCs w:val="0"/>
          <w:color w:val="auto"/>
          <w:sz w:val="32"/>
          <w:szCs w:val="32"/>
        </w:rPr>
        <w:t>第一条</w:t>
      </w:r>
      <w:r>
        <w:rPr>
          <w:rFonts w:ascii="宋体" w:hAnsi="宋体" w:eastAsia="宋体" w:cs="宋体"/>
          <w:color w:val="auto"/>
          <w:spacing w:val="29"/>
          <w:sz w:val="31"/>
          <w:szCs w:val="31"/>
        </w:rPr>
        <w:t xml:space="preserve">  </w:t>
      </w:r>
      <w:r>
        <w:rPr>
          <w:rFonts w:hint="eastAsia" w:ascii="仿宋_GB2312" w:hAnsi="仿宋_GB2312" w:eastAsia="仿宋_GB2312" w:cs="仿宋_GB2312"/>
          <w:snapToGrid/>
          <w:color w:val="auto"/>
          <w:kern w:val="2"/>
          <w:sz w:val="32"/>
          <w:szCs w:val="32"/>
          <w:lang w:val="en-US" w:eastAsia="zh-CN" w:bidi="ar-SA"/>
        </w:rPr>
        <w:t>为鼓励运动员刻苦训练、提高运动技术水</w:t>
      </w:r>
      <w:r>
        <w:rPr>
          <w:rFonts w:hint="eastAsia" w:ascii="仿宋_GB2312" w:hAnsi="仿宋_GB2312" w:eastAsia="仿宋_GB2312" w:cs="仿宋_GB2312"/>
          <w:snapToGrid/>
          <w:color w:val="auto"/>
          <w:spacing w:val="0"/>
          <w:kern w:val="2"/>
          <w:sz w:val="32"/>
          <w:szCs w:val="32"/>
          <w:lang w:val="en-US" w:eastAsia="zh-CN" w:bidi="ar-SA"/>
        </w:rPr>
        <w:t>平，进一步规范全省运动员技术等级管理工作，根据国家体育总局《运动员技术等级管理办法》（国家体育总局第32号令）(以下简称《办法》)的规定，并结合全省实际情况，制定本细则</w:t>
      </w:r>
      <w:r>
        <w:rPr>
          <w:rFonts w:hint="eastAsia" w:ascii="仿宋_GB2312" w:hAnsi="仿宋_GB2312" w:eastAsia="仿宋_GB2312" w:cs="仿宋_GB2312"/>
          <w:color w:val="auto"/>
          <w:spacing w:val="-1"/>
          <w:sz w:val="32"/>
          <w:szCs w:val="32"/>
        </w:rPr>
        <w:t>。</w:t>
      </w:r>
    </w:p>
    <w:p>
      <w:pPr>
        <w:keepNext w:val="0"/>
        <w:keepLines w:val="0"/>
        <w:pageBreakBefore w:val="0"/>
        <w:widowControl w:val="0"/>
        <w:kinsoku/>
        <w:wordWrap/>
        <w:overflowPunct/>
        <w:topLinePunct w:val="0"/>
        <w:autoSpaceDE/>
        <w:autoSpaceDN/>
        <w:bidi w:val="0"/>
        <w:adjustRightInd/>
        <w:snapToGrid/>
        <w:spacing w:before="0" w:line="360" w:lineRule="auto"/>
        <w:ind w:right="0" w:firstLine="640" w:firstLineChars="200"/>
        <w:jc w:val="both"/>
        <w:textAlignment w:val="auto"/>
        <w:outlineLvl w:val="9"/>
        <w:rPr>
          <w:rFonts w:hint="eastAsia" w:ascii="仿宋_GB2312" w:hAnsi="仿宋_GB2312" w:eastAsia="仿宋_GB2312" w:cs="仿宋_GB2312"/>
          <w:snapToGrid/>
          <w:color w:val="auto"/>
          <w:spacing w:val="0"/>
          <w:kern w:val="2"/>
          <w:sz w:val="32"/>
          <w:szCs w:val="32"/>
          <w:highlight w:val="none"/>
          <w:lang w:val="en-US" w:eastAsia="zh-CN" w:bidi="ar-SA"/>
        </w:rPr>
      </w:pPr>
      <w:r>
        <w:rPr>
          <w:rFonts w:hint="eastAsia" w:ascii="黑体" w:hAnsi="黑体" w:eastAsia="黑体" w:cs="黑体"/>
          <w:b w:val="0"/>
          <w:bCs w:val="0"/>
          <w:color w:val="auto"/>
          <w:sz w:val="32"/>
          <w:szCs w:val="32"/>
        </w:rPr>
        <w:t>第</w:t>
      </w:r>
      <w:r>
        <w:rPr>
          <w:rFonts w:hint="eastAsia" w:ascii="黑体" w:hAnsi="黑体" w:eastAsia="黑体" w:cs="黑体"/>
          <w:b w:val="0"/>
          <w:bCs w:val="0"/>
          <w:color w:val="auto"/>
          <w:sz w:val="32"/>
          <w:szCs w:val="32"/>
          <w:lang w:eastAsia="zh-CN"/>
        </w:rPr>
        <w:t>二</w:t>
      </w:r>
      <w:r>
        <w:rPr>
          <w:rFonts w:hint="eastAsia" w:ascii="黑体" w:hAnsi="黑体" w:eastAsia="黑体" w:cs="黑体"/>
          <w:b w:val="0"/>
          <w:bCs w:val="0"/>
          <w:color w:val="auto"/>
          <w:sz w:val="32"/>
          <w:szCs w:val="32"/>
        </w:rPr>
        <w:t>条</w:t>
      </w:r>
      <w:r>
        <w:rPr>
          <w:rFonts w:ascii="宋体" w:hAnsi="宋体" w:eastAsia="宋体" w:cs="宋体"/>
          <w:color w:val="auto"/>
          <w:spacing w:val="32"/>
          <w:sz w:val="31"/>
          <w:szCs w:val="31"/>
        </w:rPr>
        <w:t xml:space="preserve">  </w:t>
      </w:r>
      <w:r>
        <w:rPr>
          <w:rFonts w:hint="eastAsia" w:ascii="仿宋_GB2312" w:hAnsi="仿宋_GB2312" w:eastAsia="仿宋_GB2312" w:cs="仿宋_GB2312"/>
          <w:i w:val="0"/>
          <w:caps w:val="0"/>
          <w:color w:val="auto"/>
          <w:spacing w:val="0"/>
          <w:sz w:val="32"/>
          <w:szCs w:val="32"/>
          <w:shd w:val="clear" w:color="auto" w:fill="FFFFFF"/>
        </w:rPr>
        <w:t>运动员取得符合《运动员技术等级标准》（以下简称等级标准）</w:t>
      </w:r>
      <w:r>
        <w:rPr>
          <w:rFonts w:hint="eastAsia" w:ascii="仿宋_GB2312" w:hAnsi="仿宋_GB2312" w:eastAsia="仿宋_GB2312" w:cs="仿宋_GB2312"/>
          <w:i w:val="0"/>
          <w:caps w:val="0"/>
          <w:color w:val="auto"/>
          <w:spacing w:val="0"/>
          <w:sz w:val="32"/>
          <w:szCs w:val="32"/>
          <w:shd w:val="clear" w:color="auto" w:fill="FFFFFF"/>
          <w:lang w:eastAsia="zh-CN"/>
        </w:rPr>
        <w:t>规定的</w:t>
      </w:r>
      <w:r>
        <w:rPr>
          <w:rFonts w:hint="eastAsia" w:ascii="仿宋_GB2312" w:hAnsi="仿宋_GB2312" w:eastAsia="仿宋_GB2312" w:cs="仿宋_GB2312"/>
          <w:i w:val="0"/>
          <w:caps w:val="0"/>
          <w:color w:val="auto"/>
          <w:spacing w:val="0"/>
          <w:sz w:val="32"/>
          <w:szCs w:val="32"/>
          <w:shd w:val="clear" w:color="auto" w:fill="FFFFFF"/>
        </w:rPr>
        <w:t>成绩，授予相应运动员技术等级称号（以下简称等级称号）</w:t>
      </w:r>
      <w:r>
        <w:rPr>
          <w:rFonts w:hint="eastAsia" w:ascii="仿宋_GB2312" w:hAnsi="仿宋_GB2312" w:eastAsia="仿宋_GB2312" w:cs="仿宋_GB2312"/>
          <w:i w:val="0"/>
          <w:caps w:val="0"/>
          <w:color w:val="auto"/>
          <w:spacing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spacing w:before="0" w:line="360" w:lineRule="auto"/>
        <w:ind w:right="0" w:firstLine="640" w:firstLineChars="200"/>
        <w:jc w:val="both"/>
        <w:textAlignment w:val="auto"/>
        <w:outlineLvl w:val="9"/>
        <w:rPr>
          <w:rFonts w:hint="eastAsia" w:ascii="仿宋_GB2312" w:hAnsi="仿宋_GB2312" w:eastAsia="仿宋_GB2312" w:cs="仿宋_GB2312"/>
          <w:snapToGrid/>
          <w:color w:val="auto"/>
          <w:spacing w:val="0"/>
          <w:kern w:val="2"/>
          <w:sz w:val="32"/>
          <w:szCs w:val="32"/>
          <w:lang w:val="en-US" w:eastAsia="zh-CN" w:bidi="ar-SA"/>
        </w:rPr>
      </w:pPr>
      <w:r>
        <w:rPr>
          <w:rFonts w:hint="eastAsia" w:ascii="黑体" w:hAnsi="黑体" w:eastAsia="黑体" w:cs="黑体"/>
          <w:b w:val="0"/>
          <w:bCs w:val="0"/>
          <w:color w:val="auto"/>
          <w:sz w:val="32"/>
          <w:szCs w:val="32"/>
          <w:lang w:val="en-US" w:eastAsia="zh-CN"/>
        </w:rPr>
        <w:t>第三条</w:t>
      </w:r>
      <w:r>
        <w:rPr>
          <w:rFonts w:hint="eastAsia" w:ascii="仿宋_GB2312" w:hAnsi="仿宋_GB2312" w:eastAsia="仿宋_GB2312" w:cs="仿宋_GB2312"/>
          <w:b/>
          <w:bCs/>
          <w:snapToGrid/>
          <w:color w:val="auto"/>
          <w:spacing w:val="0"/>
          <w:kern w:val="2"/>
          <w:sz w:val="32"/>
          <w:szCs w:val="32"/>
          <w:highlight w:val="none"/>
          <w:lang w:val="en-US" w:eastAsia="zh-CN" w:bidi="ar-SA"/>
        </w:rPr>
        <w:t xml:space="preserve">  </w:t>
      </w:r>
      <w:r>
        <w:rPr>
          <w:rFonts w:hint="eastAsia" w:ascii="仿宋_GB2312" w:hAnsi="仿宋_GB2312" w:eastAsia="仿宋_GB2312" w:cs="仿宋_GB2312"/>
          <w:snapToGrid/>
          <w:color w:val="auto"/>
          <w:spacing w:val="0"/>
          <w:kern w:val="2"/>
          <w:sz w:val="32"/>
          <w:szCs w:val="32"/>
          <w:lang w:val="en-US" w:eastAsia="zh-CN" w:bidi="ar-SA"/>
        </w:rPr>
        <w:t>广东省体育局负责全省范围内运动员技术等级工作的管理。</w:t>
      </w:r>
    </w:p>
    <w:p>
      <w:pPr>
        <w:keepNext w:val="0"/>
        <w:keepLines w:val="0"/>
        <w:pageBreakBefore w:val="0"/>
        <w:widowControl w:val="0"/>
        <w:kinsoku/>
        <w:wordWrap/>
        <w:overflowPunct/>
        <w:topLinePunct w:val="0"/>
        <w:autoSpaceDE/>
        <w:autoSpaceDN/>
        <w:bidi w:val="0"/>
        <w:adjustRightInd/>
        <w:snapToGrid/>
        <w:spacing w:before="0" w:line="360" w:lineRule="auto"/>
        <w:ind w:right="0" w:firstLine="640" w:firstLineChars="200"/>
        <w:jc w:val="both"/>
        <w:textAlignment w:val="auto"/>
        <w:outlineLvl w:val="9"/>
        <w:rPr>
          <w:rFonts w:hint="eastAsia" w:ascii="仿宋_GB2312" w:hAnsi="仿宋_GB2312" w:eastAsia="仿宋_GB2312" w:cs="仿宋_GB2312"/>
          <w:snapToGrid/>
          <w:color w:val="auto"/>
          <w:spacing w:val="0"/>
          <w:kern w:val="2"/>
          <w:sz w:val="32"/>
          <w:szCs w:val="32"/>
          <w:highlight w:val="none"/>
          <w:lang w:val="en-US" w:eastAsia="zh-CN" w:bidi="ar-SA"/>
        </w:rPr>
      </w:pPr>
      <w:r>
        <w:rPr>
          <w:rFonts w:hint="eastAsia" w:ascii="黑体" w:hAnsi="黑体" w:eastAsia="黑体" w:cs="黑体"/>
          <w:b w:val="0"/>
          <w:bCs w:val="0"/>
          <w:color w:val="auto"/>
          <w:sz w:val="32"/>
          <w:szCs w:val="32"/>
          <w:lang w:val="en-US" w:eastAsia="zh-CN"/>
        </w:rPr>
        <w:t xml:space="preserve">第四条  </w:t>
      </w:r>
      <w:r>
        <w:rPr>
          <w:rFonts w:hint="eastAsia" w:ascii="仿宋_GB2312" w:hAnsi="仿宋_GB2312" w:eastAsia="仿宋_GB2312" w:cs="仿宋_GB2312"/>
          <w:snapToGrid/>
          <w:color w:val="auto"/>
          <w:spacing w:val="0"/>
          <w:kern w:val="2"/>
          <w:sz w:val="32"/>
          <w:szCs w:val="32"/>
          <w:lang w:val="en-US" w:eastAsia="zh-CN" w:bidi="ar-SA"/>
        </w:rPr>
        <w:t>广东省体育局制定全省年度可授予运动员技术等级称号的赛事名录，报国家体育总局审核备案，并按国家体育总局公布的可授予运动员技术等级称号赛事名录执行。</w:t>
      </w:r>
    </w:p>
    <w:p>
      <w:pPr>
        <w:keepNext w:val="0"/>
        <w:keepLines w:val="0"/>
        <w:pageBreakBefore w:val="0"/>
        <w:widowControl w:val="0"/>
        <w:kinsoku/>
        <w:wordWrap/>
        <w:overflowPunct/>
        <w:topLinePunct w:val="0"/>
        <w:autoSpaceDE/>
        <w:autoSpaceDN/>
        <w:bidi w:val="0"/>
        <w:adjustRightInd/>
        <w:snapToGrid/>
        <w:spacing w:before="0" w:line="360" w:lineRule="auto"/>
        <w:ind w:right="0" w:firstLine="640" w:firstLineChars="200"/>
        <w:jc w:val="both"/>
        <w:textAlignment w:val="auto"/>
        <w:outlineLvl w:val="9"/>
        <w:rPr>
          <w:rFonts w:hint="eastAsia" w:ascii="仿宋_GB2312" w:hAnsi="仿宋_GB2312" w:eastAsia="仿宋_GB2312" w:cs="仿宋_GB2312"/>
          <w:snapToGrid/>
          <w:color w:val="auto"/>
          <w:spacing w:val="0"/>
          <w:kern w:val="2"/>
          <w:sz w:val="32"/>
          <w:szCs w:val="32"/>
          <w:highlight w:val="none"/>
          <w:lang w:val="en-US" w:eastAsia="zh-CN" w:bidi="ar-SA"/>
        </w:rPr>
      </w:pPr>
      <w:r>
        <w:rPr>
          <w:rFonts w:hint="eastAsia" w:ascii="黑体" w:hAnsi="黑体" w:eastAsia="黑体" w:cs="黑体"/>
          <w:b w:val="0"/>
          <w:bCs w:val="0"/>
          <w:color w:val="auto"/>
          <w:sz w:val="32"/>
          <w:szCs w:val="32"/>
          <w:lang w:val="en-US" w:eastAsia="zh-CN"/>
        </w:rPr>
        <w:t>第五条</w:t>
      </w:r>
      <w:r>
        <w:rPr>
          <w:rFonts w:hint="eastAsia" w:ascii="仿宋_GB2312" w:hAnsi="仿宋_GB2312" w:eastAsia="仿宋_GB2312" w:cs="仿宋_GB2312"/>
          <w:snapToGrid/>
          <w:color w:val="auto"/>
          <w:spacing w:val="0"/>
          <w:kern w:val="2"/>
          <w:sz w:val="32"/>
          <w:szCs w:val="32"/>
          <w:lang w:val="en-US" w:eastAsia="zh-CN" w:bidi="ar-SA"/>
        </w:rPr>
        <w:t xml:space="preserve">  </w:t>
      </w:r>
      <w:r>
        <w:rPr>
          <w:rFonts w:hint="eastAsia" w:ascii="仿宋_GB2312" w:hAnsi="仿宋_GB2312" w:eastAsia="仿宋_GB2312" w:cs="仿宋_GB2312"/>
          <w:snapToGrid/>
          <w:color w:val="auto"/>
          <w:spacing w:val="0"/>
          <w:kern w:val="2"/>
          <w:sz w:val="32"/>
          <w:szCs w:val="32"/>
          <w:highlight w:val="none"/>
          <w:lang w:val="en-US" w:eastAsia="zh-CN" w:bidi="ar-SA"/>
        </w:rPr>
        <w:t>本细则所称运动员，系指参加国家体育总局最新颁布的各项目《运动员技术等级标准》中</w:t>
      </w:r>
      <w:r>
        <w:rPr>
          <w:rFonts w:hint="eastAsia" w:ascii="仿宋_GB2312" w:hAnsi="仿宋_GB2312" w:eastAsia="仿宋_GB2312" w:cs="仿宋_GB2312"/>
          <w:snapToGrid/>
          <w:color w:val="auto"/>
          <w:kern w:val="2"/>
          <w:sz w:val="32"/>
          <w:szCs w:val="32"/>
          <w:highlight w:val="none"/>
          <w:lang w:val="en-US" w:eastAsia="zh-CN" w:bidi="ar-SA"/>
        </w:rPr>
        <w:t>规定</w:t>
      </w:r>
      <w:r>
        <w:rPr>
          <w:rFonts w:hint="eastAsia" w:ascii="仿宋_GB2312" w:hAnsi="仿宋_GB2312" w:eastAsia="仿宋_GB2312" w:cs="仿宋_GB2312"/>
          <w:snapToGrid/>
          <w:color w:val="auto"/>
          <w:spacing w:val="0"/>
          <w:kern w:val="2"/>
          <w:sz w:val="32"/>
          <w:szCs w:val="32"/>
          <w:highlight w:val="none"/>
          <w:lang w:val="en-US" w:eastAsia="zh-CN" w:bidi="ar-SA"/>
        </w:rPr>
        <w:t>比赛的正式参赛人员。</w:t>
      </w:r>
    </w:p>
    <w:p>
      <w:pPr>
        <w:keepNext w:val="0"/>
        <w:keepLines w:val="0"/>
        <w:pageBreakBefore w:val="0"/>
        <w:widowControl w:val="0"/>
        <w:kinsoku/>
        <w:wordWrap/>
        <w:overflowPunct/>
        <w:topLinePunct w:val="0"/>
        <w:autoSpaceDE/>
        <w:autoSpaceDN/>
        <w:bidi w:val="0"/>
        <w:adjustRightInd/>
        <w:snapToGrid/>
        <w:spacing w:before="0" w:line="360" w:lineRule="auto"/>
        <w:ind w:right="0" w:firstLine="640" w:firstLineChars="200"/>
        <w:jc w:val="both"/>
        <w:textAlignment w:val="auto"/>
        <w:outlineLvl w:val="9"/>
        <w:rPr>
          <w:rFonts w:hint="eastAsia" w:ascii="仿宋_GB2312" w:hAnsi="仿宋_GB2312" w:eastAsia="仿宋_GB2312" w:cs="仿宋_GB2312"/>
          <w:snapToGrid/>
          <w:color w:val="auto"/>
          <w:spacing w:val="0"/>
          <w:kern w:val="2"/>
          <w:sz w:val="32"/>
          <w:szCs w:val="32"/>
          <w:highlight w:val="none"/>
          <w:lang w:val="en-US" w:eastAsia="zh-CN" w:bidi="ar-SA"/>
        </w:rPr>
      </w:pPr>
      <w:r>
        <w:rPr>
          <w:rFonts w:hint="eastAsia" w:ascii="仿宋_GB2312" w:hAnsi="仿宋_GB2312" w:eastAsia="仿宋_GB2312" w:cs="仿宋_GB2312"/>
          <w:snapToGrid/>
          <w:color w:val="auto"/>
          <w:spacing w:val="0"/>
          <w:kern w:val="2"/>
          <w:sz w:val="32"/>
          <w:szCs w:val="32"/>
          <w:highlight w:val="none"/>
          <w:lang w:val="en-US" w:eastAsia="zh-CN" w:bidi="ar-SA"/>
        </w:rPr>
        <w:t>以测试、推荐、邀请或其他非正式身份参加比赛的，不得授予等级称号。</w:t>
      </w:r>
    </w:p>
    <w:p>
      <w:pPr>
        <w:keepNext w:val="0"/>
        <w:keepLines w:val="0"/>
        <w:pageBreakBefore w:val="0"/>
        <w:widowControl w:val="0"/>
        <w:kinsoku/>
        <w:wordWrap/>
        <w:overflowPunct/>
        <w:topLinePunct w:val="0"/>
        <w:autoSpaceDE/>
        <w:autoSpaceDN/>
        <w:bidi w:val="0"/>
        <w:adjustRightInd/>
        <w:snapToGrid/>
        <w:spacing w:before="0" w:line="360" w:lineRule="auto"/>
        <w:ind w:right="0" w:firstLine="640" w:firstLineChars="200"/>
        <w:jc w:val="both"/>
        <w:textAlignment w:val="auto"/>
        <w:outlineLvl w:val="9"/>
        <w:rPr>
          <w:rFonts w:ascii="宋体" w:hAnsi="宋体" w:eastAsia="宋体" w:cs="宋体"/>
          <w:color w:val="auto"/>
          <w:sz w:val="32"/>
          <w:szCs w:val="32"/>
        </w:rPr>
      </w:pPr>
      <w:r>
        <w:rPr>
          <w:rFonts w:hint="eastAsia" w:ascii="黑体" w:hAnsi="黑体" w:eastAsia="黑体" w:cs="黑体"/>
          <w:b w:val="0"/>
          <w:bCs w:val="0"/>
          <w:color w:val="auto"/>
          <w:sz w:val="32"/>
          <w:szCs w:val="32"/>
          <w:lang w:val="en-US" w:eastAsia="zh-CN"/>
        </w:rPr>
        <w:t xml:space="preserve">第六条  </w:t>
      </w:r>
      <w:r>
        <w:rPr>
          <w:rFonts w:hint="eastAsia" w:ascii="仿宋_GB2312" w:hAnsi="仿宋_GB2312" w:eastAsia="仿宋_GB2312" w:cs="仿宋_GB2312"/>
          <w:snapToGrid/>
          <w:color w:val="auto"/>
          <w:spacing w:val="0"/>
          <w:kern w:val="2"/>
          <w:sz w:val="32"/>
          <w:szCs w:val="32"/>
          <w:lang w:val="en-US" w:eastAsia="zh-CN" w:bidi="ar-SA"/>
        </w:rPr>
        <w:t>等级称号的授予，遵循公开、公正、高效原则。依照规定的权限、期限、标准、范围、条件、程序实施。</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ascii="Arial"/>
          <w:color w:val="auto"/>
          <w:sz w:val="21"/>
        </w:rPr>
      </w:pPr>
    </w:p>
    <w:p>
      <w:pPr>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center"/>
        <w:textAlignment w:val="auto"/>
        <w:outlineLvl w:val="9"/>
        <w:rPr>
          <w:rFonts w:hint="eastAsia" w:ascii="黑体" w:hAnsi="黑体" w:eastAsia="黑体" w:cs="黑体"/>
          <w:b w:val="0"/>
          <w:bCs w:val="0"/>
          <w:color w:val="auto"/>
          <w:spacing w:val="-5"/>
          <w:sz w:val="32"/>
          <w:szCs w:val="32"/>
          <w:lang w:val="en-US" w:eastAsia="zh-CN"/>
        </w:rPr>
      </w:pPr>
      <w:r>
        <w:rPr>
          <w:rFonts w:hint="eastAsia" w:ascii="黑体" w:hAnsi="黑体" w:eastAsia="黑体" w:cs="黑体"/>
          <w:b w:val="0"/>
          <w:bCs w:val="0"/>
          <w:color w:val="auto"/>
          <w:spacing w:val="-5"/>
          <w:sz w:val="32"/>
          <w:szCs w:val="32"/>
          <w:lang w:val="en-US" w:eastAsia="zh-CN"/>
        </w:rPr>
        <w:t>第二章 授予主体和方式</w:t>
      </w:r>
    </w:p>
    <w:p>
      <w:pPr>
        <w:keepNext w:val="0"/>
        <w:keepLines w:val="0"/>
        <w:pageBreakBefore w:val="0"/>
        <w:widowControl w:val="0"/>
        <w:kinsoku/>
        <w:wordWrap/>
        <w:overflowPunct/>
        <w:topLinePunct w:val="0"/>
        <w:autoSpaceDE/>
        <w:autoSpaceDN/>
        <w:bidi w:val="0"/>
        <w:adjustRightInd/>
        <w:snapToGrid/>
        <w:spacing w:before="0" w:line="360" w:lineRule="auto"/>
        <w:ind w:firstLine="640" w:firstLineChars="200"/>
        <w:jc w:val="both"/>
        <w:textAlignment w:val="auto"/>
        <w:outlineLvl w:val="9"/>
        <w:rPr>
          <w:rFonts w:hint="eastAsia" w:ascii="仿宋_GB2312" w:hAnsi="仿宋_GB2312" w:eastAsia="仿宋_GB2312" w:cs="仿宋_GB2312"/>
          <w:snapToGrid/>
          <w:color w:val="auto"/>
          <w:spacing w:val="0"/>
          <w:kern w:val="2"/>
          <w:sz w:val="32"/>
          <w:szCs w:val="32"/>
          <w:lang w:val="en-US" w:eastAsia="zh-CN" w:bidi="ar-SA"/>
        </w:rPr>
      </w:pPr>
      <w:r>
        <w:rPr>
          <w:rFonts w:hint="eastAsia" w:ascii="黑体" w:hAnsi="黑体" w:eastAsia="黑体" w:cs="黑体"/>
          <w:b w:val="0"/>
          <w:bCs w:val="0"/>
          <w:color w:val="auto"/>
          <w:sz w:val="32"/>
          <w:szCs w:val="32"/>
        </w:rPr>
        <w:t>第</w:t>
      </w:r>
      <w:r>
        <w:rPr>
          <w:rFonts w:hint="eastAsia" w:ascii="黑体" w:hAnsi="黑体" w:eastAsia="黑体" w:cs="黑体"/>
          <w:b w:val="0"/>
          <w:bCs w:val="0"/>
          <w:color w:val="auto"/>
          <w:sz w:val="32"/>
          <w:szCs w:val="32"/>
          <w:lang w:eastAsia="zh-CN"/>
        </w:rPr>
        <w:t>七</w:t>
      </w:r>
      <w:r>
        <w:rPr>
          <w:rFonts w:hint="eastAsia" w:ascii="黑体" w:hAnsi="黑体" w:eastAsia="黑体" w:cs="黑体"/>
          <w:b w:val="0"/>
          <w:bCs w:val="0"/>
          <w:color w:val="auto"/>
          <w:sz w:val="32"/>
          <w:szCs w:val="32"/>
        </w:rPr>
        <w:t>条</w:t>
      </w:r>
      <w:r>
        <w:rPr>
          <w:rFonts w:hint="eastAsia" w:ascii="宋体" w:hAnsi="宋体" w:eastAsia="宋体" w:cs="宋体"/>
          <w:b/>
          <w:bCs/>
          <w:color w:val="auto"/>
          <w:spacing w:val="2"/>
          <w:position w:val="0"/>
          <w:sz w:val="32"/>
          <w:szCs w:val="32"/>
          <w:lang w:val="en-US" w:eastAsia="zh-CN"/>
        </w:rPr>
        <w:t xml:space="preserve">  </w:t>
      </w:r>
      <w:r>
        <w:rPr>
          <w:rFonts w:hint="eastAsia" w:ascii="仿宋_GB2312" w:hAnsi="仿宋_GB2312" w:eastAsia="仿宋_GB2312" w:cs="仿宋_GB2312"/>
          <w:snapToGrid/>
          <w:color w:val="auto"/>
          <w:spacing w:val="0"/>
          <w:kern w:val="2"/>
          <w:sz w:val="32"/>
          <w:szCs w:val="32"/>
          <w:lang w:val="en-US" w:eastAsia="zh-CN" w:bidi="ar-SA"/>
        </w:rPr>
        <w:t>广东省体育局授予本省省级比赛等级称号为：一级运动员、二级运动员、三级运动员。</w:t>
      </w:r>
    </w:p>
    <w:p>
      <w:pPr>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right="0" w:rightChars="0" w:firstLine="640" w:firstLineChars="200"/>
        <w:jc w:val="both"/>
        <w:textAlignment w:val="auto"/>
        <w:outlineLvl w:val="9"/>
        <w:rPr>
          <w:rFonts w:hint="eastAsia" w:ascii="宋体" w:hAnsi="宋体" w:eastAsia="宋体" w:cs="宋体"/>
          <w:b/>
          <w:bCs/>
          <w:color w:val="auto"/>
          <w:spacing w:val="2"/>
          <w:position w:val="0"/>
          <w:sz w:val="32"/>
          <w:szCs w:val="32"/>
          <w:lang w:val="en-US" w:eastAsia="zh-CN"/>
        </w:rPr>
      </w:pPr>
      <w:r>
        <w:rPr>
          <w:rFonts w:hint="eastAsia" w:ascii="黑体" w:hAnsi="黑体" w:eastAsia="黑体" w:cs="黑体"/>
          <w:b w:val="0"/>
          <w:bCs w:val="0"/>
          <w:color w:val="auto"/>
          <w:sz w:val="32"/>
          <w:szCs w:val="32"/>
        </w:rPr>
        <w:t>第</w:t>
      </w:r>
      <w:r>
        <w:rPr>
          <w:rFonts w:hint="eastAsia" w:ascii="黑体" w:hAnsi="黑体" w:eastAsia="黑体" w:cs="黑体"/>
          <w:b w:val="0"/>
          <w:bCs w:val="0"/>
          <w:color w:val="auto"/>
          <w:sz w:val="32"/>
          <w:szCs w:val="32"/>
          <w:lang w:eastAsia="zh-CN"/>
        </w:rPr>
        <w:t>八</w:t>
      </w:r>
      <w:r>
        <w:rPr>
          <w:rFonts w:hint="eastAsia" w:ascii="黑体" w:hAnsi="黑体" w:eastAsia="黑体" w:cs="黑体"/>
          <w:b w:val="0"/>
          <w:bCs w:val="0"/>
          <w:color w:val="auto"/>
          <w:sz w:val="32"/>
          <w:szCs w:val="32"/>
        </w:rPr>
        <w:t>条</w:t>
      </w:r>
      <w:r>
        <w:rPr>
          <w:rFonts w:hint="eastAsia" w:ascii="宋体" w:hAnsi="宋体" w:eastAsia="宋体" w:cs="宋体"/>
          <w:b/>
          <w:bCs/>
          <w:color w:val="auto"/>
          <w:spacing w:val="2"/>
          <w:position w:val="0"/>
          <w:sz w:val="32"/>
          <w:szCs w:val="32"/>
          <w:lang w:val="en-US" w:eastAsia="zh-CN"/>
        </w:rPr>
        <w:t xml:space="preserve">  </w:t>
      </w:r>
      <w:r>
        <w:rPr>
          <w:rFonts w:hint="eastAsia" w:ascii="仿宋_GB2312" w:hAnsi="仿宋_GB2312" w:eastAsia="仿宋_GB2312" w:cs="仿宋_GB2312"/>
          <w:snapToGrid/>
          <w:color w:val="auto"/>
          <w:spacing w:val="0"/>
          <w:kern w:val="2"/>
          <w:sz w:val="32"/>
          <w:szCs w:val="32"/>
          <w:lang w:val="en-US" w:eastAsia="zh-CN" w:bidi="ar-SA"/>
        </w:rPr>
        <w:t>广东省体育局可以指定单位负责一定范围内运动员技术等级工作的管理，授予相应等级称号。</w:t>
      </w:r>
    </w:p>
    <w:p>
      <w:pPr>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right="0" w:rightChars="0" w:firstLine="640" w:firstLineChars="200"/>
        <w:jc w:val="both"/>
        <w:textAlignment w:val="auto"/>
        <w:outlineLvl w:val="9"/>
        <w:rPr>
          <w:rFonts w:hint="eastAsia" w:ascii="仿宋_GB2312" w:hAnsi="仿宋_GB2312" w:eastAsia="仿宋_GB2312" w:cs="仿宋_GB2312"/>
          <w:snapToGrid/>
          <w:color w:val="auto"/>
          <w:spacing w:val="0"/>
          <w:kern w:val="2"/>
          <w:position w:val="0"/>
          <w:sz w:val="32"/>
          <w:szCs w:val="32"/>
          <w:lang w:val="en-US" w:eastAsia="zh-CN" w:bidi="ar-SA"/>
        </w:rPr>
      </w:pPr>
      <w:r>
        <w:rPr>
          <w:rFonts w:hint="eastAsia" w:ascii="黑体" w:hAnsi="黑体" w:eastAsia="黑体" w:cs="黑体"/>
          <w:b w:val="0"/>
          <w:bCs w:val="0"/>
          <w:color w:val="auto"/>
          <w:sz w:val="32"/>
          <w:szCs w:val="32"/>
          <w:lang w:val="en-US" w:eastAsia="zh-CN"/>
        </w:rPr>
        <w:t xml:space="preserve">第九条  </w:t>
      </w:r>
      <w:r>
        <w:rPr>
          <w:rFonts w:hint="eastAsia" w:ascii="仿宋_GB2312" w:hAnsi="仿宋_GB2312" w:eastAsia="仿宋_GB2312" w:cs="仿宋_GB2312"/>
          <w:snapToGrid/>
          <w:color w:val="auto"/>
          <w:spacing w:val="0"/>
          <w:kern w:val="2"/>
          <w:sz w:val="32"/>
          <w:szCs w:val="32"/>
          <w:lang w:val="en-US" w:eastAsia="zh-CN" w:bidi="ar-SA"/>
        </w:rPr>
        <w:t>广东省体育局</w:t>
      </w:r>
      <w:r>
        <w:rPr>
          <w:rFonts w:hint="eastAsia" w:ascii="仿宋_GB2312" w:hAnsi="仿宋_GB2312" w:eastAsia="仿宋_GB2312" w:cs="仿宋_GB2312"/>
          <w:snapToGrid/>
          <w:color w:val="auto"/>
          <w:spacing w:val="0"/>
          <w:kern w:val="2"/>
          <w:position w:val="0"/>
          <w:sz w:val="32"/>
          <w:szCs w:val="32"/>
          <w:lang w:val="en-US" w:eastAsia="zh-CN" w:bidi="ar-SA"/>
        </w:rPr>
        <w:t>授权广东省社会体育和训练竞赛中心（以下简称“省社训中心”）负责运动员等级的审核工作。</w:t>
      </w:r>
    </w:p>
    <w:p>
      <w:pPr>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right="0" w:rightChars="0" w:firstLine="640" w:firstLineChars="200"/>
        <w:jc w:val="both"/>
        <w:textAlignment w:val="auto"/>
        <w:outlineLvl w:val="9"/>
        <w:rPr>
          <w:rFonts w:hint="eastAsia" w:ascii="仿宋_GB2312" w:hAnsi="仿宋_GB2312" w:eastAsia="仿宋_GB2312" w:cs="仿宋_GB2312"/>
          <w:snapToGrid/>
          <w:color w:val="auto"/>
          <w:spacing w:val="0"/>
          <w:kern w:val="2"/>
          <w:sz w:val="32"/>
          <w:szCs w:val="32"/>
          <w:highlight w:val="none"/>
          <w:lang w:val="en-US" w:eastAsia="zh-CN" w:bidi="ar-SA"/>
        </w:rPr>
      </w:pPr>
      <w:r>
        <w:rPr>
          <w:rFonts w:hint="eastAsia" w:ascii="黑体" w:hAnsi="黑体" w:eastAsia="黑体" w:cs="黑体"/>
          <w:b w:val="0"/>
          <w:bCs w:val="0"/>
          <w:color w:val="auto"/>
          <w:sz w:val="32"/>
          <w:szCs w:val="32"/>
          <w:lang w:val="en-US" w:eastAsia="zh-CN"/>
        </w:rPr>
        <w:t>第十条</w:t>
      </w:r>
      <w:r>
        <w:rPr>
          <w:rFonts w:hint="eastAsia" w:ascii="仿宋_GB2312" w:hAnsi="仿宋_GB2312" w:eastAsia="仿宋_GB2312" w:cs="仿宋_GB2312"/>
          <w:snapToGrid/>
          <w:color w:val="auto"/>
          <w:spacing w:val="0"/>
          <w:kern w:val="2"/>
          <w:sz w:val="32"/>
          <w:szCs w:val="32"/>
          <w:highlight w:val="none"/>
          <w:lang w:val="en-US" w:eastAsia="zh-CN" w:bidi="ar-SA"/>
        </w:rPr>
        <w:t xml:space="preserve">  等级称号授予方式为：</w:t>
      </w:r>
    </w:p>
    <w:p>
      <w:pPr>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right="0" w:rightChars="0" w:firstLine="640" w:firstLineChars="200"/>
        <w:jc w:val="both"/>
        <w:textAlignment w:val="auto"/>
        <w:outlineLvl w:val="9"/>
        <w:rPr>
          <w:rFonts w:hint="eastAsia" w:ascii="仿宋_GB2312" w:hAnsi="仿宋_GB2312" w:eastAsia="仿宋_GB2312" w:cs="仿宋_GB2312"/>
          <w:snapToGrid/>
          <w:color w:val="auto"/>
          <w:spacing w:val="0"/>
          <w:kern w:val="2"/>
          <w:sz w:val="32"/>
          <w:szCs w:val="32"/>
          <w:highlight w:val="yellow"/>
          <w:lang w:val="en-US" w:eastAsia="zh-CN" w:bidi="ar-SA"/>
        </w:rPr>
      </w:pPr>
      <w:r>
        <w:rPr>
          <w:rFonts w:hint="eastAsia" w:ascii="仿宋_GB2312" w:hAnsi="仿宋_GB2312" w:eastAsia="仿宋_GB2312" w:cs="仿宋_GB2312"/>
          <w:snapToGrid/>
          <w:color w:val="auto"/>
          <w:spacing w:val="0"/>
          <w:kern w:val="2"/>
          <w:sz w:val="32"/>
          <w:szCs w:val="32"/>
          <w:highlight w:val="none"/>
          <w:lang w:val="en-US" w:eastAsia="zh-CN" w:bidi="ar-SA"/>
        </w:rPr>
        <w:t>（一）公示：比赛结束后30日内，主办单位</w:t>
      </w:r>
      <w:r>
        <w:rPr>
          <w:rFonts w:hint="eastAsia" w:ascii="仿宋_GB2312" w:hAnsi="仿宋_GB2312" w:eastAsia="仿宋_GB2312" w:cs="仿宋_GB2312"/>
          <w:snapToGrid/>
          <w:color w:val="auto"/>
          <w:spacing w:val="0"/>
          <w:kern w:val="2"/>
          <w:sz w:val="32"/>
          <w:szCs w:val="32"/>
          <w:highlight w:val="none"/>
          <w:lang w:val="en-US" w:eastAsia="zh-CN" w:bidi="ar-SA"/>
        </w:rPr>
        <w:t>在“广东省</w:t>
      </w:r>
      <w:r>
        <w:rPr>
          <w:rFonts w:hint="eastAsia" w:ascii="仿宋_GB2312" w:hAnsi="仿宋_GB2312" w:eastAsia="仿宋_GB2312" w:cs="仿宋_GB2312"/>
          <w:snapToGrid/>
          <w:color w:val="auto"/>
          <w:spacing w:val="0"/>
          <w:kern w:val="2"/>
          <w:position w:val="0"/>
          <w:sz w:val="32"/>
          <w:szCs w:val="32"/>
          <w:lang w:val="en-US" w:eastAsia="zh-CN" w:bidi="ar-SA"/>
        </w:rPr>
        <w:t>社会体育和训练竞赛中心网站”</w:t>
      </w:r>
      <w:r>
        <w:rPr>
          <w:rFonts w:hint="eastAsia" w:ascii="仿宋_GB2312" w:hAnsi="仿宋_GB2312" w:eastAsia="仿宋_GB2312" w:cs="仿宋_GB2312"/>
          <w:snapToGrid/>
          <w:color w:val="auto"/>
          <w:spacing w:val="0"/>
          <w:kern w:val="2"/>
          <w:sz w:val="32"/>
          <w:szCs w:val="32"/>
          <w:highlight w:val="none"/>
          <w:lang w:val="en-US" w:eastAsia="zh-CN" w:bidi="ar-SA"/>
        </w:rPr>
        <w:t>公布比赛秩序册、成绩册，并对拟授予等级人员进行公示，公示期5个工作日。</w:t>
      </w:r>
    </w:p>
    <w:p>
      <w:pPr>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right="0" w:rightChars="0" w:firstLine="640" w:firstLineChars="200"/>
        <w:jc w:val="both"/>
        <w:textAlignment w:val="auto"/>
        <w:outlineLvl w:val="9"/>
        <w:rPr>
          <w:rFonts w:hint="eastAsia" w:ascii="仿宋_GB2312" w:hAnsi="仿宋_GB2312" w:eastAsia="仿宋_GB2312" w:cs="仿宋_GB2312"/>
          <w:snapToGrid/>
          <w:color w:val="auto"/>
          <w:spacing w:val="0"/>
          <w:kern w:val="2"/>
          <w:sz w:val="32"/>
          <w:szCs w:val="32"/>
          <w:highlight w:val="none"/>
          <w:lang w:val="en-US" w:eastAsia="zh-CN" w:bidi="ar-SA"/>
        </w:rPr>
      </w:pPr>
      <w:r>
        <w:rPr>
          <w:rFonts w:hint="eastAsia" w:ascii="仿宋_GB2312" w:hAnsi="仿宋_GB2312" w:eastAsia="仿宋_GB2312" w:cs="仿宋_GB2312"/>
          <w:snapToGrid/>
          <w:color w:val="auto"/>
          <w:spacing w:val="0"/>
          <w:kern w:val="2"/>
          <w:sz w:val="32"/>
          <w:szCs w:val="32"/>
          <w:highlight w:val="none"/>
          <w:lang w:val="en-US" w:eastAsia="zh-CN" w:bidi="ar-SA"/>
        </w:rPr>
        <w:t>比赛结束时间以取得成绩时间为准，联赛、积分赛成绩以最后一场比赛结束时间为准，排名以公布时间为准。</w:t>
      </w:r>
    </w:p>
    <w:p>
      <w:pPr>
        <w:keepNext w:val="0"/>
        <w:keepLines w:val="0"/>
        <w:pageBreakBefore w:val="0"/>
        <w:widowControl w:val="0"/>
        <w:numPr>
          <w:ilvl w:val="0"/>
          <w:numId w:val="1"/>
        </w:numPr>
        <w:kinsoku/>
        <w:wordWrap/>
        <w:overflowPunct/>
        <w:topLinePunct w:val="0"/>
        <w:autoSpaceDE/>
        <w:autoSpaceDN/>
        <w:bidi w:val="0"/>
        <w:adjustRightInd/>
        <w:snapToGrid/>
        <w:spacing w:before="0" w:line="360" w:lineRule="auto"/>
        <w:ind w:right="0" w:rightChars="0" w:firstLine="640" w:firstLineChars="200"/>
        <w:jc w:val="both"/>
        <w:textAlignment w:val="auto"/>
        <w:outlineLvl w:val="9"/>
        <w:rPr>
          <w:rFonts w:hint="eastAsia" w:ascii="仿宋_GB2312" w:hAnsi="仿宋_GB2312" w:eastAsia="仿宋_GB2312" w:cs="仿宋_GB2312"/>
          <w:snapToGrid/>
          <w:color w:val="auto"/>
          <w:spacing w:val="0"/>
          <w:kern w:val="2"/>
          <w:sz w:val="32"/>
          <w:szCs w:val="32"/>
          <w:highlight w:val="none"/>
          <w:lang w:val="en-US" w:eastAsia="zh-CN" w:bidi="ar-SA"/>
        </w:rPr>
      </w:pPr>
      <w:r>
        <w:rPr>
          <w:rFonts w:hint="eastAsia" w:ascii="仿宋_GB2312" w:hAnsi="仿宋_GB2312" w:eastAsia="仿宋_GB2312" w:cs="仿宋_GB2312"/>
          <w:snapToGrid/>
          <w:color w:val="auto"/>
          <w:spacing w:val="0"/>
          <w:kern w:val="2"/>
          <w:sz w:val="32"/>
          <w:szCs w:val="32"/>
          <w:highlight w:val="none"/>
          <w:lang w:val="en-US" w:eastAsia="zh-CN" w:bidi="ar-SA"/>
        </w:rPr>
        <w:t>授予：公示期满无异议的，广东省体育局以文件形式授予等级称号。</w:t>
      </w:r>
      <w:r>
        <w:rPr>
          <w:rFonts w:hint="eastAsia" w:ascii="仿宋_GB2312" w:hAnsi="仿宋_GB2312" w:eastAsia="仿宋_GB2312" w:cs="仿宋_GB2312"/>
          <w:snapToGrid/>
          <w:color w:val="auto"/>
          <w:spacing w:val="0"/>
          <w:kern w:val="2"/>
          <w:sz w:val="32"/>
          <w:szCs w:val="32"/>
          <w:highlight w:val="none"/>
          <w:lang w:val="en-US" w:eastAsia="zh-CN" w:bidi="ar-SA"/>
        </w:rPr>
        <w:t>公示期间发现问题需要进行修正的，应在公示期满3个工作日内发布修正说明，再发布授予文件。</w:t>
      </w:r>
    </w:p>
    <w:p>
      <w:pPr>
        <w:keepNext w:val="0"/>
        <w:keepLines w:val="0"/>
        <w:pageBreakBefore w:val="0"/>
        <w:widowControl w:val="0"/>
        <w:numPr>
          <w:ilvl w:val="0"/>
          <w:numId w:val="1"/>
        </w:numPr>
        <w:kinsoku/>
        <w:wordWrap/>
        <w:overflowPunct/>
        <w:topLinePunct w:val="0"/>
        <w:autoSpaceDE/>
        <w:autoSpaceDN/>
        <w:bidi w:val="0"/>
        <w:adjustRightInd/>
        <w:snapToGrid/>
        <w:spacing w:before="0" w:line="360" w:lineRule="auto"/>
        <w:ind w:right="0" w:rightChars="0" w:firstLine="640" w:firstLineChars="200"/>
        <w:jc w:val="both"/>
        <w:textAlignment w:val="auto"/>
        <w:outlineLvl w:val="9"/>
        <w:rPr>
          <w:rFonts w:hint="default" w:ascii="仿宋_GB2312" w:hAnsi="仿宋_GB2312" w:eastAsia="仿宋_GB2312" w:cs="仿宋_GB2312"/>
          <w:snapToGrid/>
          <w:color w:val="auto"/>
          <w:spacing w:val="0"/>
          <w:kern w:val="2"/>
          <w:sz w:val="32"/>
          <w:szCs w:val="32"/>
          <w:highlight w:val="none"/>
          <w:lang w:val="en-US" w:eastAsia="zh-CN" w:bidi="ar-SA"/>
        </w:rPr>
      </w:pPr>
      <w:r>
        <w:rPr>
          <w:rFonts w:hint="eastAsia" w:ascii="仿宋_GB2312" w:hAnsi="仿宋_GB2312" w:eastAsia="仿宋_GB2312" w:cs="仿宋_GB2312"/>
          <w:snapToGrid/>
          <w:color w:val="auto"/>
          <w:spacing w:val="0"/>
          <w:kern w:val="2"/>
          <w:sz w:val="32"/>
          <w:szCs w:val="32"/>
          <w:highlight w:val="none"/>
          <w:lang w:val="en-US" w:eastAsia="zh-CN" w:bidi="ar-SA"/>
        </w:rPr>
        <w:t>公布：广东省体育局在“运动员技术等级系统”发布授予等级称号的信息，包括运动员的姓名、性别、体育项目、等级称号、比赛信息、比赛名称、比赛时间和地点等，主动接受社会监督。</w:t>
      </w:r>
    </w:p>
    <w:p>
      <w:pPr>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right="0" w:rightChars="0" w:firstLine="640" w:firstLineChars="200"/>
        <w:jc w:val="both"/>
        <w:textAlignment w:val="auto"/>
        <w:outlineLvl w:val="9"/>
        <w:rPr>
          <w:rFonts w:hint="eastAsia" w:ascii="仿宋_GB2312" w:hAnsi="仿宋_GB2312" w:eastAsia="仿宋_GB2312" w:cs="仿宋_GB2312"/>
          <w:snapToGrid/>
          <w:color w:val="auto"/>
          <w:spacing w:val="0"/>
          <w:kern w:val="2"/>
          <w:position w:val="0"/>
          <w:sz w:val="32"/>
          <w:szCs w:val="32"/>
          <w:lang w:val="en-US" w:eastAsia="zh-CN" w:bidi="ar-SA"/>
        </w:rPr>
      </w:pPr>
      <w:r>
        <w:rPr>
          <w:rFonts w:hint="eastAsia" w:ascii="黑体" w:hAnsi="黑体" w:eastAsia="黑体" w:cs="黑体"/>
          <w:b w:val="0"/>
          <w:bCs w:val="0"/>
          <w:color w:val="auto"/>
          <w:sz w:val="32"/>
          <w:szCs w:val="32"/>
          <w:lang w:val="en-US" w:eastAsia="zh-CN"/>
        </w:rPr>
        <w:t>第十一条</w:t>
      </w:r>
      <w:r>
        <w:rPr>
          <w:rFonts w:hint="eastAsia" w:ascii="仿宋_GB2312" w:hAnsi="仿宋_GB2312" w:eastAsia="仿宋_GB2312" w:cs="仿宋_GB2312"/>
          <w:snapToGrid/>
          <w:color w:val="auto"/>
          <w:spacing w:val="0"/>
          <w:kern w:val="2"/>
          <w:sz w:val="32"/>
          <w:szCs w:val="32"/>
          <w:highlight w:val="none"/>
          <w:lang w:val="en-US" w:eastAsia="zh-CN" w:bidi="ar-SA"/>
        </w:rPr>
        <w:t xml:space="preserve">  授予集体球类项目等级称号的，参赛单位应当在比赛结束10日内，向</w:t>
      </w:r>
      <w:r>
        <w:rPr>
          <w:rFonts w:hint="eastAsia" w:ascii="仿宋_GB2312" w:hAnsi="仿宋_GB2312" w:eastAsia="仿宋_GB2312" w:cs="仿宋_GB2312"/>
          <w:snapToGrid/>
          <w:color w:val="auto"/>
          <w:spacing w:val="0"/>
          <w:kern w:val="2"/>
          <w:position w:val="0"/>
          <w:sz w:val="32"/>
          <w:szCs w:val="32"/>
          <w:lang w:val="en-US" w:eastAsia="zh-CN" w:bidi="ar-SA"/>
        </w:rPr>
        <w:t>省社训中心提供拟授予等级称号的运动员名单。</w:t>
      </w:r>
      <w:r>
        <w:rPr>
          <w:rFonts w:hint="eastAsia" w:ascii="仿宋_GB2312" w:hAnsi="仿宋_GB2312" w:eastAsia="仿宋_GB2312" w:cs="仿宋_GB2312"/>
          <w:snapToGrid/>
          <w:color w:val="auto"/>
          <w:spacing w:val="0"/>
          <w:kern w:val="2"/>
          <w:sz w:val="32"/>
          <w:szCs w:val="32"/>
          <w:lang w:val="en-US" w:eastAsia="zh-CN" w:bidi="ar-SA"/>
        </w:rPr>
        <w:t>申请人数不足规定人数的，参赛单位应同时上报放弃申请说明，注明放弃申请名额的理由，并加盖单位公章。</w:t>
      </w:r>
    </w:p>
    <w:p>
      <w:pPr>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right="0" w:rightChars="0" w:firstLine="640" w:firstLineChars="200"/>
        <w:jc w:val="both"/>
        <w:textAlignment w:val="auto"/>
        <w:outlineLvl w:val="9"/>
        <w:rPr>
          <w:rFonts w:hint="eastAsia" w:ascii="仿宋_GB2312" w:hAnsi="仿宋_GB2312" w:eastAsia="仿宋_GB2312" w:cs="仿宋_GB2312"/>
          <w:snapToGrid/>
          <w:color w:val="auto"/>
          <w:spacing w:val="0"/>
          <w:kern w:val="2"/>
          <w:sz w:val="32"/>
          <w:szCs w:val="32"/>
          <w:highlight w:val="none"/>
          <w:lang w:val="en-US" w:eastAsia="zh-CN" w:bidi="ar-SA"/>
        </w:rPr>
      </w:pPr>
      <w:r>
        <w:rPr>
          <w:rFonts w:hint="eastAsia" w:ascii="黑体" w:hAnsi="黑体" w:eastAsia="黑体" w:cs="黑体"/>
          <w:b w:val="0"/>
          <w:bCs w:val="0"/>
          <w:color w:val="auto"/>
          <w:sz w:val="32"/>
          <w:szCs w:val="32"/>
          <w:lang w:val="en-US" w:eastAsia="zh-CN"/>
        </w:rPr>
        <w:t>第十二条</w:t>
      </w:r>
      <w:r>
        <w:rPr>
          <w:rFonts w:hint="eastAsia" w:ascii="仿宋_GB2312" w:hAnsi="仿宋_GB2312" w:eastAsia="仿宋_GB2312" w:cs="仿宋_GB2312"/>
          <w:snapToGrid/>
          <w:color w:val="auto"/>
          <w:spacing w:val="0"/>
          <w:kern w:val="2"/>
          <w:sz w:val="32"/>
          <w:szCs w:val="32"/>
          <w:highlight w:val="none"/>
          <w:lang w:val="en-US" w:eastAsia="zh-CN" w:bidi="ar-SA"/>
        </w:rPr>
        <w:t xml:space="preserve">  香港、澳门特区和台湾地区运动员参加我省比赛可以授予等级称号。</w:t>
      </w:r>
    </w:p>
    <w:p>
      <w:pPr>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right="0" w:rightChars="0" w:firstLine="640" w:firstLineChars="200"/>
        <w:jc w:val="both"/>
        <w:textAlignment w:val="auto"/>
        <w:outlineLvl w:val="9"/>
        <w:rPr>
          <w:rFonts w:hint="eastAsia" w:ascii="仿宋_GB2312" w:hAnsi="仿宋_GB2312" w:eastAsia="仿宋_GB2312" w:cs="仿宋_GB2312"/>
          <w:snapToGrid/>
          <w:color w:val="auto"/>
          <w:spacing w:val="0"/>
          <w:kern w:val="2"/>
          <w:sz w:val="32"/>
          <w:szCs w:val="32"/>
          <w:highlight w:val="none"/>
          <w:lang w:val="en-US" w:eastAsia="zh-CN" w:bidi="ar-SA"/>
        </w:rPr>
      </w:pPr>
      <w:r>
        <w:rPr>
          <w:rFonts w:hint="eastAsia" w:ascii="仿宋_GB2312" w:hAnsi="仿宋_GB2312" w:eastAsia="仿宋_GB2312" w:cs="仿宋_GB2312"/>
          <w:snapToGrid/>
          <w:color w:val="auto"/>
          <w:spacing w:val="0"/>
          <w:kern w:val="2"/>
          <w:sz w:val="32"/>
          <w:szCs w:val="32"/>
          <w:highlight w:val="none"/>
          <w:lang w:val="en-US" w:eastAsia="zh-CN" w:bidi="ar-SA"/>
        </w:rPr>
        <w:t>香港、澳门特区体育项目总会注册运动员参赛前应提供相关总会同意参赛并被授予等级称号的意见书。</w:t>
      </w:r>
    </w:p>
    <w:p>
      <w:pPr>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right="0" w:rightChars="0" w:firstLine="640" w:firstLineChars="200"/>
        <w:jc w:val="both"/>
        <w:textAlignment w:val="auto"/>
        <w:outlineLvl w:val="9"/>
        <w:rPr>
          <w:rFonts w:hint="eastAsia" w:ascii="仿宋_GB2312" w:hAnsi="仿宋_GB2312" w:eastAsia="仿宋_GB2312" w:cs="仿宋_GB2312"/>
          <w:snapToGrid/>
          <w:color w:val="auto"/>
          <w:spacing w:val="0"/>
          <w:kern w:val="2"/>
          <w:sz w:val="32"/>
          <w:szCs w:val="32"/>
          <w:highlight w:val="none"/>
          <w:lang w:val="en-US" w:eastAsia="zh-CN" w:bidi="ar-SA"/>
        </w:rPr>
      </w:pPr>
      <w:r>
        <w:rPr>
          <w:rFonts w:hint="eastAsia" w:ascii="仿宋_GB2312" w:hAnsi="仿宋_GB2312" w:eastAsia="仿宋_GB2312" w:cs="仿宋_GB2312"/>
          <w:snapToGrid/>
          <w:color w:val="auto"/>
          <w:spacing w:val="0"/>
          <w:kern w:val="2"/>
          <w:sz w:val="32"/>
          <w:szCs w:val="32"/>
          <w:highlight w:val="none"/>
          <w:lang w:val="en-US" w:eastAsia="zh-CN" w:bidi="ar-SA"/>
        </w:rPr>
        <w:t>经查实为香港、澳门特区体育项目总会注册运动员，但参赛时未能提供港澳相关总会意见书的，所授予等级予以撤销。</w:t>
      </w:r>
    </w:p>
    <w:p>
      <w:pPr>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right="0" w:rightChars="0" w:firstLine="640" w:firstLineChars="200"/>
        <w:jc w:val="both"/>
        <w:textAlignment w:val="auto"/>
        <w:outlineLvl w:val="9"/>
        <w:rPr>
          <w:rFonts w:hint="eastAsia" w:ascii="仿宋_GB2312" w:hAnsi="仿宋_GB2312" w:eastAsia="仿宋_GB2312" w:cs="仿宋_GB2312"/>
          <w:snapToGrid/>
          <w:color w:val="auto"/>
          <w:spacing w:val="0"/>
          <w:kern w:val="2"/>
          <w:sz w:val="32"/>
          <w:szCs w:val="32"/>
          <w:highlight w:val="none"/>
          <w:lang w:val="en-US" w:eastAsia="zh-CN" w:bidi="ar-SA"/>
        </w:rPr>
      </w:pPr>
      <w:r>
        <w:rPr>
          <w:rFonts w:hint="eastAsia" w:ascii="黑体" w:hAnsi="黑体" w:eastAsia="黑体" w:cs="黑体"/>
          <w:b w:val="0"/>
          <w:bCs w:val="0"/>
          <w:color w:val="auto"/>
          <w:sz w:val="32"/>
          <w:szCs w:val="32"/>
          <w:lang w:val="en-US" w:eastAsia="zh-CN"/>
        </w:rPr>
        <w:t>第十三条</w:t>
      </w:r>
      <w:r>
        <w:rPr>
          <w:rFonts w:hint="eastAsia" w:ascii="仿宋_GB2312" w:hAnsi="仿宋_GB2312" w:eastAsia="仿宋_GB2312" w:cs="仿宋_GB2312"/>
          <w:snapToGrid/>
          <w:color w:val="auto"/>
          <w:spacing w:val="0"/>
          <w:kern w:val="2"/>
          <w:sz w:val="32"/>
          <w:szCs w:val="32"/>
          <w:highlight w:val="none"/>
          <w:lang w:val="en-US" w:eastAsia="zh-CN" w:bidi="ar-SA"/>
        </w:rPr>
        <w:t xml:space="preserve">  等级证书为电子证书，由国家体育总局统一</w:t>
      </w:r>
      <w:bookmarkStart w:id="0" w:name="_GoBack"/>
      <w:bookmarkEnd w:id="0"/>
      <w:r>
        <w:rPr>
          <w:rFonts w:hint="eastAsia" w:ascii="仿宋_GB2312" w:hAnsi="仿宋_GB2312" w:eastAsia="仿宋_GB2312" w:cs="仿宋_GB2312"/>
          <w:snapToGrid/>
          <w:color w:val="auto"/>
          <w:spacing w:val="0"/>
          <w:kern w:val="2"/>
          <w:sz w:val="32"/>
          <w:szCs w:val="32"/>
          <w:highlight w:val="none"/>
          <w:lang w:val="en-US" w:eastAsia="zh-CN" w:bidi="ar-SA"/>
        </w:rPr>
        <w:t>设计、编号，在“运动员技术等级系统”公布，自行下载打印。</w:t>
      </w:r>
    </w:p>
    <w:p>
      <w:pPr>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right="0" w:rightChars="0" w:firstLine="640" w:firstLineChars="200"/>
        <w:jc w:val="both"/>
        <w:textAlignment w:val="auto"/>
        <w:outlineLvl w:val="9"/>
        <w:rPr>
          <w:rFonts w:hint="eastAsia" w:ascii="仿宋_GB2312" w:hAnsi="仿宋_GB2312" w:eastAsia="仿宋_GB2312" w:cs="仿宋_GB2312"/>
          <w:snapToGrid/>
          <w:color w:val="auto"/>
          <w:spacing w:val="0"/>
          <w:kern w:val="2"/>
          <w:sz w:val="32"/>
          <w:szCs w:val="32"/>
          <w:highlight w:val="none"/>
          <w:lang w:val="en-US" w:eastAsia="zh-CN" w:bidi="ar-SA"/>
        </w:rPr>
      </w:pPr>
      <w:r>
        <w:rPr>
          <w:rFonts w:hint="eastAsia" w:ascii="黑体" w:hAnsi="黑体" w:eastAsia="黑体" w:cs="黑体"/>
          <w:b w:val="0"/>
          <w:bCs w:val="0"/>
          <w:color w:val="auto"/>
          <w:sz w:val="32"/>
          <w:szCs w:val="32"/>
          <w:lang w:val="en-US" w:eastAsia="zh-CN"/>
        </w:rPr>
        <w:t>第十四条</w:t>
      </w:r>
      <w:r>
        <w:rPr>
          <w:rFonts w:hint="eastAsia" w:ascii="仿宋_GB2312" w:hAnsi="仿宋_GB2312" w:eastAsia="仿宋_GB2312" w:cs="仿宋_GB2312"/>
          <w:snapToGrid/>
          <w:color w:val="auto"/>
          <w:spacing w:val="0"/>
          <w:kern w:val="2"/>
          <w:sz w:val="32"/>
          <w:szCs w:val="32"/>
          <w:highlight w:val="none"/>
          <w:lang w:val="en-US" w:eastAsia="zh-CN" w:bidi="ar-SA"/>
        </w:rPr>
        <w:t xml:space="preserve">  等级称号授予过程中，任何单位和个人不得收取任何费用。</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ascii="Arial"/>
          <w:color w:val="auto"/>
          <w:sz w:val="21"/>
        </w:rPr>
      </w:pPr>
    </w:p>
    <w:p>
      <w:pPr>
        <w:keepNext w:val="0"/>
        <w:keepLines w:val="0"/>
        <w:pageBreakBefore w:val="0"/>
        <w:widowControl w:val="0"/>
        <w:kinsoku/>
        <w:wordWrap/>
        <w:overflowPunct/>
        <w:topLinePunct w:val="0"/>
        <w:autoSpaceDE/>
        <w:autoSpaceDN/>
        <w:bidi w:val="0"/>
        <w:adjustRightInd/>
        <w:snapToGrid/>
        <w:spacing w:before="0" w:line="360" w:lineRule="auto"/>
        <w:ind w:left="0"/>
        <w:jc w:val="center"/>
        <w:textAlignment w:val="auto"/>
        <w:outlineLvl w:val="9"/>
        <w:rPr>
          <w:rFonts w:hint="eastAsia" w:ascii="黑体" w:hAnsi="黑体" w:eastAsia="黑体" w:cs="黑体"/>
          <w:b w:val="0"/>
          <w:bCs w:val="0"/>
          <w:color w:val="auto"/>
          <w:spacing w:val="-5"/>
          <w:sz w:val="32"/>
          <w:szCs w:val="32"/>
          <w:lang w:val="en-US" w:eastAsia="zh-CN"/>
        </w:rPr>
      </w:pPr>
      <w:r>
        <w:rPr>
          <w:rFonts w:hint="eastAsia" w:ascii="黑体" w:hAnsi="黑体" w:eastAsia="黑体" w:cs="黑体"/>
          <w:b w:val="0"/>
          <w:bCs w:val="0"/>
          <w:color w:val="auto"/>
          <w:spacing w:val="-5"/>
          <w:sz w:val="32"/>
          <w:szCs w:val="32"/>
          <w:lang w:val="en-US" w:eastAsia="zh-CN"/>
        </w:rPr>
        <w:t>第三章  监督检查和处罚</w:t>
      </w:r>
    </w:p>
    <w:p>
      <w:pPr>
        <w:keepNext w:val="0"/>
        <w:keepLines w:val="0"/>
        <w:pageBreakBefore w:val="0"/>
        <w:widowControl w:val="0"/>
        <w:kinsoku/>
        <w:wordWrap/>
        <w:overflowPunct/>
        <w:topLinePunct w:val="0"/>
        <w:autoSpaceDE/>
        <w:autoSpaceDN/>
        <w:bidi w:val="0"/>
        <w:adjustRightInd/>
        <w:snapToGrid/>
        <w:spacing w:before="0" w:line="360" w:lineRule="auto"/>
        <w:ind w:left="0" w:firstLine="640" w:firstLineChars="200"/>
        <w:jc w:val="both"/>
        <w:textAlignment w:val="auto"/>
        <w:outlineLvl w:val="9"/>
        <w:rPr>
          <w:rFonts w:hint="eastAsia" w:ascii="黑体" w:hAnsi="黑体" w:eastAsia="黑体" w:cs="黑体"/>
          <w:b w:val="0"/>
          <w:bCs w:val="0"/>
          <w:color w:val="auto"/>
          <w:sz w:val="32"/>
          <w:szCs w:val="32"/>
          <w:lang w:val="en-US" w:eastAsia="zh-CN"/>
        </w:rPr>
      </w:pPr>
      <w:r>
        <w:rPr>
          <w:rFonts w:hint="eastAsia" w:ascii="黑体" w:hAnsi="黑体" w:eastAsia="黑体" w:cs="黑体"/>
          <w:color w:val="auto"/>
          <w:sz w:val="32"/>
          <w:szCs w:val="32"/>
        </w:rPr>
        <w:t>第十</w:t>
      </w:r>
      <w:r>
        <w:rPr>
          <w:rFonts w:hint="eastAsia" w:ascii="黑体" w:hAnsi="黑体" w:eastAsia="黑体" w:cs="黑体"/>
          <w:color w:val="auto"/>
          <w:sz w:val="32"/>
          <w:szCs w:val="32"/>
          <w:lang w:eastAsia="zh-CN"/>
        </w:rPr>
        <w:t>五</w:t>
      </w:r>
      <w:r>
        <w:rPr>
          <w:rFonts w:hint="eastAsia" w:ascii="黑体" w:hAnsi="黑体" w:eastAsia="黑体" w:cs="黑体"/>
          <w:color w:val="auto"/>
          <w:sz w:val="32"/>
          <w:szCs w:val="32"/>
        </w:rPr>
        <w:t>条</w:t>
      </w:r>
      <w:r>
        <w:rPr>
          <w:rFonts w:hint="eastAsia" w:ascii="宋体" w:hAnsi="宋体" w:eastAsia="宋体" w:cs="宋体"/>
          <w:b/>
          <w:bCs/>
          <w:color w:val="auto"/>
          <w:spacing w:val="-1"/>
          <w:sz w:val="31"/>
          <w:szCs w:val="31"/>
        </w:rPr>
        <w:t xml:space="preserve">  </w:t>
      </w:r>
      <w:r>
        <w:rPr>
          <w:rFonts w:hint="eastAsia" w:ascii="仿宋_GB2312" w:hAnsi="仿宋_GB2312" w:eastAsia="仿宋_GB2312" w:cs="仿宋_GB2312"/>
          <w:snapToGrid/>
          <w:color w:val="auto"/>
          <w:spacing w:val="0"/>
          <w:kern w:val="2"/>
          <w:sz w:val="32"/>
          <w:szCs w:val="32"/>
          <w:highlight w:val="none"/>
          <w:lang w:val="en-US" w:eastAsia="zh-CN" w:bidi="ar-SA"/>
        </w:rPr>
        <w:t>本细则报国家体育总局备案后实施。</w:t>
      </w:r>
    </w:p>
    <w:p>
      <w:pPr>
        <w:keepNext w:val="0"/>
        <w:keepLines w:val="0"/>
        <w:pageBreakBefore w:val="0"/>
        <w:widowControl w:val="0"/>
        <w:kinsoku/>
        <w:wordWrap/>
        <w:overflowPunct/>
        <w:topLinePunct w:val="0"/>
        <w:autoSpaceDE/>
        <w:autoSpaceDN/>
        <w:bidi w:val="0"/>
        <w:adjustRightInd/>
        <w:snapToGrid/>
        <w:spacing w:before="0" w:line="360" w:lineRule="auto"/>
        <w:ind w:left="0" w:firstLine="640" w:firstLineChars="200"/>
        <w:jc w:val="both"/>
        <w:textAlignment w:val="auto"/>
        <w:outlineLvl w:val="9"/>
        <w:rPr>
          <w:rFonts w:hint="eastAsia" w:ascii="仿宋_GB2312" w:hAnsi="仿宋_GB2312" w:eastAsia="仿宋_GB2312" w:cs="仿宋_GB2312"/>
          <w:snapToGrid/>
          <w:color w:val="auto"/>
          <w:spacing w:val="0"/>
          <w:kern w:val="2"/>
          <w:sz w:val="32"/>
          <w:szCs w:val="32"/>
          <w:lang w:val="en-US" w:eastAsia="zh-CN" w:bidi="ar-SA"/>
        </w:rPr>
      </w:pPr>
      <w:r>
        <w:rPr>
          <w:rFonts w:hint="eastAsia" w:ascii="黑体" w:hAnsi="黑体" w:eastAsia="黑体" w:cs="黑体"/>
          <w:b w:val="0"/>
          <w:bCs w:val="0"/>
          <w:color w:val="auto"/>
          <w:sz w:val="32"/>
          <w:szCs w:val="32"/>
          <w:lang w:val="en-US" w:eastAsia="zh-CN"/>
        </w:rPr>
        <w:t>第十六条</w:t>
      </w:r>
      <w:r>
        <w:rPr>
          <w:rFonts w:hint="eastAsia" w:ascii="宋体" w:hAnsi="宋体" w:eastAsia="宋体" w:cs="宋体"/>
          <w:b/>
          <w:bCs/>
          <w:color w:val="auto"/>
          <w:spacing w:val="-1"/>
          <w:sz w:val="31"/>
          <w:szCs w:val="31"/>
          <w:lang w:val="en-US" w:eastAsia="zh-CN"/>
        </w:rPr>
        <w:t xml:space="preserve">  </w:t>
      </w:r>
      <w:r>
        <w:rPr>
          <w:rFonts w:hint="eastAsia" w:ascii="仿宋_GB2312" w:hAnsi="仿宋_GB2312" w:eastAsia="仿宋_GB2312" w:cs="仿宋_GB2312"/>
          <w:snapToGrid/>
          <w:color w:val="auto"/>
          <w:spacing w:val="0"/>
          <w:kern w:val="2"/>
          <w:sz w:val="32"/>
          <w:szCs w:val="32"/>
          <w:lang w:val="en-US" w:eastAsia="zh-CN" w:bidi="ar-SA"/>
        </w:rPr>
        <w:t>广东省体育局负责对全省范围内等级称号工作进行监督检查。</w:t>
      </w:r>
    </w:p>
    <w:p>
      <w:pPr>
        <w:keepNext w:val="0"/>
        <w:keepLines w:val="0"/>
        <w:pageBreakBefore w:val="0"/>
        <w:widowControl w:val="0"/>
        <w:kinsoku/>
        <w:wordWrap/>
        <w:overflowPunct/>
        <w:topLinePunct w:val="0"/>
        <w:autoSpaceDE/>
        <w:autoSpaceDN/>
        <w:bidi w:val="0"/>
        <w:adjustRightInd/>
        <w:snapToGrid/>
        <w:spacing w:before="0" w:line="360" w:lineRule="auto"/>
        <w:ind w:left="0" w:firstLine="640" w:firstLineChars="200"/>
        <w:jc w:val="both"/>
        <w:textAlignment w:val="auto"/>
        <w:outlineLvl w:val="9"/>
        <w:rPr>
          <w:rFonts w:hint="default" w:ascii="仿宋_GB2312" w:hAnsi="仿宋_GB2312" w:eastAsia="仿宋_GB2312" w:cs="仿宋_GB2312"/>
          <w:snapToGrid/>
          <w:color w:val="auto"/>
          <w:spacing w:val="0"/>
          <w:kern w:val="2"/>
          <w:sz w:val="32"/>
          <w:szCs w:val="32"/>
          <w:lang w:val="en-US" w:eastAsia="zh-CN" w:bidi="ar-SA"/>
        </w:rPr>
      </w:pPr>
      <w:r>
        <w:rPr>
          <w:rFonts w:hint="eastAsia" w:ascii="黑体" w:hAnsi="黑体" w:eastAsia="黑体" w:cs="黑体"/>
          <w:b w:val="0"/>
          <w:bCs w:val="0"/>
          <w:color w:val="auto"/>
          <w:sz w:val="32"/>
          <w:szCs w:val="32"/>
          <w:lang w:val="en-US" w:eastAsia="zh-CN"/>
        </w:rPr>
        <w:t>第十七条</w:t>
      </w:r>
      <w:r>
        <w:rPr>
          <w:rFonts w:hint="eastAsia" w:ascii="宋体" w:hAnsi="宋体" w:eastAsia="宋体" w:cs="宋体"/>
          <w:b/>
          <w:bCs/>
          <w:color w:val="auto"/>
          <w:spacing w:val="-1"/>
          <w:sz w:val="31"/>
          <w:szCs w:val="31"/>
          <w:lang w:val="en-US" w:eastAsia="zh-CN"/>
        </w:rPr>
        <w:t xml:space="preserve">  </w:t>
      </w:r>
      <w:r>
        <w:rPr>
          <w:rFonts w:hint="eastAsia" w:ascii="仿宋_GB2312" w:hAnsi="仿宋_GB2312" w:eastAsia="仿宋_GB2312" w:cs="仿宋_GB2312"/>
          <w:snapToGrid/>
          <w:color w:val="auto"/>
          <w:spacing w:val="0"/>
          <w:kern w:val="2"/>
          <w:sz w:val="32"/>
          <w:szCs w:val="32"/>
          <w:lang w:val="en-US" w:eastAsia="zh-CN" w:bidi="ar-SA"/>
        </w:rPr>
        <w:t>任何单位和个人发现有关活动违反本办法的，有权举报。举报电话：020-83815010，020-37591017，邮箱地址：ydyjsdj@gd.gov.cn，通信地址：广州市越秀区较场西路16号。</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黑体" w:hAnsi="黑体" w:eastAsia="黑体" w:cs="黑体"/>
          <w:b w:val="0"/>
          <w:bCs w:val="0"/>
          <w:color w:val="auto"/>
          <w:sz w:val="32"/>
          <w:szCs w:val="32"/>
          <w:lang w:val="en-US" w:eastAsia="zh-CN"/>
        </w:rPr>
        <w:t>第十八条</w:t>
      </w:r>
      <w:r>
        <w:rPr>
          <w:rFonts w:hint="eastAsia" w:ascii="宋体" w:hAnsi="宋体" w:eastAsia="宋体" w:cs="宋体"/>
          <w:b/>
          <w:bCs/>
          <w:color w:val="auto"/>
          <w:sz w:val="31"/>
          <w:szCs w:val="31"/>
          <w:lang w:val="en-US" w:eastAsia="zh-CN"/>
        </w:rPr>
        <w:t xml:space="preserve">  </w:t>
      </w:r>
      <w:r>
        <w:rPr>
          <w:rFonts w:hint="eastAsia" w:ascii="仿宋_GB2312" w:hAnsi="仿宋_GB2312" w:eastAsia="仿宋_GB2312" w:cs="仿宋_GB2312"/>
          <w:color w:val="auto"/>
          <w:sz w:val="32"/>
          <w:szCs w:val="32"/>
          <w:lang w:val="en-US" w:eastAsia="zh-CN"/>
        </w:rPr>
        <w:t>运动员出现下列情形之一的，不得授予等级称号，已授予的等级称号予以撤销；情节严重的，列入限制、禁止参加竞技体育活动名单：</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违反兴奋剂管理规定在处理处罚期内的；</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违反赛风赛纪管理规定在处理处罚期内的；</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采用虚构事实、隐瞒真像等方式取得等级称号的；</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违反本办法规定的其他情形。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黑体" w:hAnsi="黑体" w:eastAsia="黑体" w:cs="黑体"/>
          <w:b w:val="0"/>
          <w:bCs w:val="0"/>
          <w:color w:val="auto"/>
          <w:sz w:val="32"/>
          <w:szCs w:val="32"/>
          <w:lang w:val="en-US" w:eastAsia="zh-CN"/>
        </w:rPr>
        <w:t>第十九条</w:t>
      </w:r>
      <w:r>
        <w:rPr>
          <w:rFonts w:hint="eastAsia" w:ascii="宋体" w:hAnsi="宋体" w:eastAsia="宋体" w:cs="宋体"/>
          <w:b/>
          <w:bCs/>
          <w:color w:val="auto"/>
          <w:sz w:val="31"/>
          <w:szCs w:val="31"/>
          <w:lang w:val="en-US" w:eastAsia="zh-CN"/>
        </w:rPr>
        <w:t xml:space="preserve">  </w:t>
      </w:r>
      <w:r>
        <w:rPr>
          <w:rFonts w:hint="eastAsia" w:ascii="仿宋_GB2312" w:hAnsi="仿宋_GB2312" w:eastAsia="仿宋_GB2312" w:cs="仿宋_GB2312"/>
          <w:color w:val="auto"/>
          <w:sz w:val="32"/>
          <w:szCs w:val="32"/>
          <w:lang w:val="en-US" w:eastAsia="zh-CN"/>
        </w:rPr>
        <w:t>工作人员违反本办法规定，有下列情形之一的，责令改正；情节严重的，对负有责任的领导人员和直接责任人员依法依规依纪给予处分：</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对符合条件不予授予等级称号的；</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未按规定期限或方式完成等级称号授予工作的；</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在等级称号授予过程中收费的；</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在等级称号授予过程中参与弄虚作假的；</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违反本办法规定的其他情形。</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黑体" w:hAnsi="黑体" w:eastAsia="黑体" w:cs="黑体"/>
          <w:b w:val="0"/>
          <w:bCs w:val="0"/>
          <w:color w:val="auto"/>
          <w:sz w:val="32"/>
          <w:szCs w:val="32"/>
          <w:lang w:val="en-US" w:eastAsia="zh-CN"/>
        </w:rPr>
        <w:t>第二十条</w:t>
      </w:r>
      <w:r>
        <w:rPr>
          <w:rFonts w:hint="eastAsia" w:ascii="宋体" w:hAnsi="宋体" w:eastAsia="宋体" w:cs="宋体"/>
          <w:b/>
          <w:bCs/>
          <w:color w:val="auto"/>
          <w:sz w:val="31"/>
          <w:szCs w:val="31"/>
          <w:lang w:val="en-US" w:eastAsia="zh-CN"/>
        </w:rPr>
        <w:t xml:space="preserve">  </w:t>
      </w:r>
      <w:r>
        <w:rPr>
          <w:rFonts w:hint="eastAsia" w:ascii="仿宋_GB2312" w:hAnsi="仿宋_GB2312" w:eastAsia="仿宋_GB2312" w:cs="仿宋_GB2312"/>
          <w:color w:val="auto"/>
          <w:sz w:val="32"/>
          <w:szCs w:val="32"/>
          <w:lang w:val="en-US" w:eastAsia="zh-CN"/>
        </w:rPr>
        <w:t>等级称号授予过程中，工作人员涉嫌滥用职权、玩忽职守、利益输送、徇私舞弊等构成职务违法和职务犯罪的，依照有关规定及时移送纪检监察机构、司法机关追究相应责任。</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napToGrid/>
          <w:color w:val="auto"/>
          <w:spacing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before="0" w:line="360" w:lineRule="auto"/>
        <w:ind w:left="0"/>
        <w:jc w:val="center"/>
        <w:textAlignment w:val="auto"/>
        <w:outlineLvl w:val="9"/>
        <w:rPr>
          <w:rFonts w:hint="eastAsia" w:ascii="黑体" w:hAnsi="黑体" w:eastAsia="黑体" w:cs="黑体"/>
          <w:b w:val="0"/>
          <w:bCs w:val="0"/>
          <w:color w:val="auto"/>
          <w:spacing w:val="-5"/>
          <w:sz w:val="32"/>
          <w:szCs w:val="32"/>
          <w:lang w:val="en-US" w:eastAsia="zh-CN"/>
        </w:rPr>
      </w:pPr>
      <w:r>
        <w:rPr>
          <w:rFonts w:hint="eastAsia" w:ascii="黑体" w:hAnsi="黑体" w:eastAsia="黑体" w:cs="黑体"/>
          <w:b w:val="0"/>
          <w:bCs w:val="0"/>
          <w:color w:val="auto"/>
          <w:spacing w:val="-5"/>
          <w:sz w:val="32"/>
          <w:szCs w:val="32"/>
          <w:lang w:val="en-US" w:eastAsia="zh-CN"/>
        </w:rPr>
        <w:t>第四章  附  则</w:t>
      </w:r>
    </w:p>
    <w:p>
      <w:pPr>
        <w:keepNext w:val="0"/>
        <w:keepLines w:val="0"/>
        <w:pageBreakBefore w:val="0"/>
        <w:widowControl w:val="0"/>
        <w:kinsoku/>
        <w:wordWrap/>
        <w:overflowPunct/>
        <w:topLinePunct w:val="0"/>
        <w:autoSpaceDE/>
        <w:autoSpaceDN/>
        <w:bidi w:val="0"/>
        <w:adjustRightInd/>
        <w:snapToGrid/>
        <w:spacing w:before="0" w:line="360" w:lineRule="auto"/>
        <w:ind w:firstLine="640" w:firstLineChars="200"/>
        <w:jc w:val="both"/>
        <w:textAlignment w:val="auto"/>
        <w:outlineLvl w:val="9"/>
        <w:rPr>
          <w:rFonts w:hint="eastAsia" w:ascii="仿宋_GB2312" w:hAnsi="仿宋_GB2312" w:eastAsia="仿宋_GB2312" w:cs="仿宋_GB2312"/>
          <w:snapToGrid/>
          <w:color w:val="auto"/>
          <w:spacing w:val="0"/>
          <w:kern w:val="2"/>
          <w:sz w:val="32"/>
          <w:szCs w:val="32"/>
          <w:lang w:val="en-US" w:eastAsia="zh-CN" w:bidi="ar-SA"/>
        </w:rPr>
      </w:pPr>
      <w:r>
        <w:rPr>
          <w:rFonts w:hint="eastAsia" w:ascii="黑体" w:hAnsi="黑体" w:eastAsia="黑体" w:cs="黑体"/>
          <w:b w:val="0"/>
          <w:bCs w:val="0"/>
          <w:color w:val="auto"/>
          <w:sz w:val="32"/>
          <w:szCs w:val="32"/>
          <w:lang w:val="en-US" w:eastAsia="zh-CN"/>
        </w:rPr>
        <w:t>第二十一条</w:t>
      </w:r>
      <w:r>
        <w:rPr>
          <w:rFonts w:hint="eastAsia" w:ascii="宋体" w:hAnsi="宋体" w:eastAsia="宋体" w:cs="宋体"/>
          <w:color w:val="auto"/>
          <w:spacing w:val="31"/>
          <w:sz w:val="32"/>
          <w:szCs w:val="32"/>
          <w:lang w:val="en-US" w:eastAsia="zh-CN"/>
        </w:rPr>
        <w:t xml:space="preserve">  </w:t>
      </w:r>
      <w:r>
        <w:rPr>
          <w:rFonts w:hint="eastAsia" w:ascii="仿宋_GB2312" w:hAnsi="仿宋_GB2312" w:eastAsia="仿宋_GB2312" w:cs="仿宋_GB2312"/>
          <w:snapToGrid/>
          <w:color w:val="auto"/>
          <w:spacing w:val="0"/>
          <w:kern w:val="2"/>
          <w:sz w:val="32"/>
          <w:szCs w:val="32"/>
          <w:lang w:val="en-US" w:eastAsia="zh-CN" w:bidi="ar-SA"/>
        </w:rPr>
        <w:t>本细则不适用于外国运动员，也不适用于参赛代表单位注册在外国的运动员。</w:t>
      </w:r>
    </w:p>
    <w:p>
      <w:pPr>
        <w:keepNext w:val="0"/>
        <w:keepLines w:val="0"/>
        <w:pageBreakBefore w:val="0"/>
        <w:widowControl w:val="0"/>
        <w:kinsoku/>
        <w:wordWrap/>
        <w:overflowPunct/>
        <w:topLinePunct w:val="0"/>
        <w:autoSpaceDE/>
        <w:autoSpaceDN/>
        <w:bidi w:val="0"/>
        <w:adjustRightInd/>
        <w:snapToGrid/>
        <w:spacing w:before="0" w:line="360" w:lineRule="auto"/>
        <w:ind w:firstLine="640" w:firstLineChars="200"/>
        <w:jc w:val="both"/>
        <w:textAlignment w:val="auto"/>
        <w:outlineLvl w:val="9"/>
        <w:rPr>
          <w:rFonts w:hint="default" w:ascii="仿宋_GB2312" w:hAnsi="仿宋_GB2312" w:eastAsia="仿宋_GB2312" w:cs="仿宋_GB2312"/>
          <w:i w:val="0"/>
          <w:iCs w:val="0"/>
          <w:caps w:val="0"/>
          <w:snapToGrid/>
          <w:color w:val="auto"/>
          <w:spacing w:val="0"/>
          <w:kern w:val="2"/>
          <w:sz w:val="32"/>
          <w:szCs w:val="32"/>
          <w:lang w:val="en-US" w:eastAsia="zh-CN" w:bidi="ar-SA"/>
        </w:rPr>
      </w:pPr>
      <w:r>
        <w:rPr>
          <w:rFonts w:hint="eastAsia" w:ascii="黑体" w:hAnsi="黑体" w:eastAsia="黑体" w:cs="黑体"/>
          <w:b w:val="0"/>
          <w:bCs w:val="0"/>
          <w:color w:val="auto"/>
          <w:sz w:val="32"/>
          <w:szCs w:val="32"/>
          <w:lang w:val="en-US" w:eastAsia="zh-CN"/>
        </w:rPr>
        <w:t>第二十二条</w:t>
      </w:r>
      <w:r>
        <w:rPr>
          <w:rFonts w:hint="eastAsia" w:ascii="宋体" w:hAnsi="宋体" w:eastAsia="宋体" w:cs="宋体"/>
          <w:b/>
          <w:bCs/>
          <w:color w:val="auto"/>
          <w:spacing w:val="15"/>
          <w:sz w:val="32"/>
          <w:szCs w:val="32"/>
          <w:lang w:val="en-US" w:eastAsia="zh-CN"/>
        </w:rPr>
        <w:t xml:space="preserve">  </w:t>
      </w:r>
      <w:r>
        <w:rPr>
          <w:rFonts w:hint="eastAsia" w:ascii="仿宋_GB2312" w:hAnsi="仿宋_GB2312" w:eastAsia="仿宋_GB2312" w:cs="仿宋_GB2312"/>
          <w:snapToGrid/>
          <w:color w:val="auto"/>
          <w:spacing w:val="0"/>
          <w:kern w:val="2"/>
          <w:sz w:val="32"/>
          <w:szCs w:val="32"/>
          <w:lang w:val="en-US" w:eastAsia="zh-CN" w:bidi="ar-SA"/>
        </w:rPr>
        <w:t>本细则自2025年1月1日起实施。</w:t>
      </w:r>
      <w:r>
        <w:rPr>
          <w:rFonts w:hint="eastAsia" w:ascii="仿宋_GB2312" w:hAnsi="仿宋_GB2312" w:eastAsia="仿宋_GB2312" w:cs="仿宋_GB2312"/>
          <w:snapToGrid/>
          <w:color w:val="auto"/>
          <w:spacing w:val="0"/>
          <w:kern w:val="2"/>
          <w:sz w:val="32"/>
          <w:szCs w:val="32"/>
          <w:lang w:val="en-US" w:eastAsia="zh-CN" w:bidi="ar-SA"/>
        </w:rPr>
        <w:t>有效期4年。</w:t>
      </w:r>
    </w:p>
    <w:p>
      <w:pPr>
        <w:keepNext w:val="0"/>
        <w:keepLines w:val="0"/>
        <w:pageBreakBefore w:val="0"/>
        <w:widowControl w:val="0"/>
        <w:kinsoku/>
        <w:wordWrap/>
        <w:overflowPunct/>
        <w:topLinePunct w:val="0"/>
        <w:autoSpaceDE/>
        <w:autoSpaceDN/>
        <w:bidi w:val="0"/>
        <w:adjustRightInd/>
        <w:snapToGrid/>
        <w:spacing w:before="0" w:line="360" w:lineRule="auto"/>
        <w:ind w:firstLine="640" w:firstLineChars="200"/>
        <w:jc w:val="both"/>
        <w:textAlignment w:val="auto"/>
        <w:outlineLvl w:val="9"/>
        <w:rPr>
          <w:rFonts w:ascii="宋体" w:hAnsi="宋体" w:eastAsia="宋体" w:cs="宋体"/>
          <w:color w:val="auto"/>
          <w:sz w:val="32"/>
          <w:szCs w:val="32"/>
        </w:rPr>
      </w:pPr>
      <w:r>
        <w:rPr>
          <w:rFonts w:hint="eastAsia" w:ascii="黑体" w:hAnsi="黑体" w:eastAsia="黑体" w:cs="黑体"/>
          <w:b w:val="0"/>
          <w:bCs w:val="0"/>
          <w:color w:val="auto"/>
          <w:sz w:val="32"/>
          <w:szCs w:val="32"/>
          <w:lang w:val="en-US" w:eastAsia="zh-CN"/>
        </w:rPr>
        <w:t>第二十三条</w:t>
      </w:r>
      <w:r>
        <w:rPr>
          <w:rFonts w:hint="eastAsia" w:ascii="宋体" w:hAnsi="宋体" w:eastAsia="宋体" w:cs="宋体"/>
          <w:b/>
          <w:bCs/>
          <w:color w:val="auto"/>
          <w:spacing w:val="15"/>
          <w:sz w:val="32"/>
          <w:szCs w:val="32"/>
          <w:lang w:val="en-US" w:eastAsia="zh-CN"/>
        </w:rPr>
        <w:t xml:space="preserve">  </w:t>
      </w:r>
      <w:r>
        <w:rPr>
          <w:rFonts w:hint="eastAsia" w:ascii="仿宋_GB2312" w:hAnsi="仿宋_GB2312" w:eastAsia="仿宋_GB2312" w:cs="仿宋_GB2312"/>
          <w:snapToGrid/>
          <w:color w:val="auto"/>
          <w:spacing w:val="0"/>
          <w:kern w:val="2"/>
          <w:sz w:val="32"/>
          <w:szCs w:val="32"/>
          <w:lang w:val="en-US" w:eastAsia="zh-CN" w:bidi="ar-SA"/>
        </w:rPr>
        <w:t>本细则由广东省体育局负责解释。</w:t>
      </w:r>
    </w:p>
    <w:sectPr>
      <w:footerReference r:id="rId5" w:type="default"/>
      <w:pgSz w:w="11906" w:h="16838"/>
      <w:pgMar w:top="1440" w:right="1803" w:bottom="1440" w:left="1803" w:header="0" w:footer="73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ind w:left="0"/>
      <w:rPr>
        <w:rFonts w:ascii="宋体" w:hAnsi="宋体" w:eastAsia="宋体" w:cs="宋体"/>
        <w:sz w:val="17"/>
        <w:szCs w:val="17"/>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E9754D"/>
    <w:multiLevelType w:val="singleLevel"/>
    <w:tmpl w:val="91E9754D"/>
    <w:lvl w:ilvl="0" w:tentative="0">
      <w:start w:val="1"/>
      <w:numFmt w:val="chineseCounting"/>
      <w:suff w:val="nothing"/>
      <w:lvlText w:val="（%1）"/>
      <w:lvlJc w:val="left"/>
      <w:rPr>
        <w:rFonts w:hint="eastAsia"/>
      </w:rPr>
    </w:lvl>
  </w:abstractNum>
  <w:abstractNum w:abstractNumId="1">
    <w:nsid w:val="AA4DF6C4"/>
    <w:multiLevelType w:val="singleLevel"/>
    <w:tmpl w:val="AA4DF6C4"/>
    <w:lvl w:ilvl="0" w:tentative="0">
      <w:start w:val="2"/>
      <w:numFmt w:val="chineseCounting"/>
      <w:suff w:val="nothing"/>
      <w:lvlText w:val="（%1）"/>
      <w:lvlJc w:val="left"/>
      <w:rPr>
        <w:rFonts w:hint="eastAsia"/>
      </w:rPr>
    </w:lvl>
  </w:abstractNum>
  <w:abstractNum w:abstractNumId="2">
    <w:nsid w:val="E54F21DD"/>
    <w:multiLevelType w:val="singleLevel"/>
    <w:tmpl w:val="E54F21DD"/>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true"/>
  <w:bordersDoNotSurroundHeader w:val="false"/>
  <w:bordersDoNotSurroundFooter w:val="false"/>
  <w:documentProtection w:enforcement="0"/>
  <w:displayHorizontalDrawingGridEvery w:val="1"/>
  <w:displayVerticalDrawingGridEvery w:val="1"/>
  <w:noPunctuationKerning w:val="true"/>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WZlNWY5NTM2MTcxYmZiNGNlYjNiYWJkN2VkOTE5MTAifQ=="/>
  </w:docVars>
  <w:rsids>
    <w:rsidRoot w:val="00000000"/>
    <w:rsid w:val="01CE59C0"/>
    <w:rsid w:val="02451099"/>
    <w:rsid w:val="027F4468"/>
    <w:rsid w:val="02F70D3E"/>
    <w:rsid w:val="03A960DA"/>
    <w:rsid w:val="03BE0F42"/>
    <w:rsid w:val="06A4373C"/>
    <w:rsid w:val="06BE3C2B"/>
    <w:rsid w:val="07096964"/>
    <w:rsid w:val="07CF7D5A"/>
    <w:rsid w:val="09187C60"/>
    <w:rsid w:val="0C50423D"/>
    <w:rsid w:val="0C933607"/>
    <w:rsid w:val="0CED3DB8"/>
    <w:rsid w:val="0F09224E"/>
    <w:rsid w:val="0F5A35FD"/>
    <w:rsid w:val="0F5D1B4A"/>
    <w:rsid w:val="12C81DAF"/>
    <w:rsid w:val="13D676BE"/>
    <w:rsid w:val="16AD1D78"/>
    <w:rsid w:val="17AA5116"/>
    <w:rsid w:val="18B51F7F"/>
    <w:rsid w:val="1A35191D"/>
    <w:rsid w:val="1A3E4B0B"/>
    <w:rsid w:val="1A9E31B8"/>
    <w:rsid w:val="1BDA3BAB"/>
    <w:rsid w:val="1D026372"/>
    <w:rsid w:val="1DA67648"/>
    <w:rsid w:val="1DA9229C"/>
    <w:rsid w:val="1E276524"/>
    <w:rsid w:val="1E98796A"/>
    <w:rsid w:val="1F456814"/>
    <w:rsid w:val="1F9856F5"/>
    <w:rsid w:val="20D862F6"/>
    <w:rsid w:val="22F17100"/>
    <w:rsid w:val="23827D58"/>
    <w:rsid w:val="240B377D"/>
    <w:rsid w:val="24296006"/>
    <w:rsid w:val="246970AD"/>
    <w:rsid w:val="249E0357"/>
    <w:rsid w:val="25A16D11"/>
    <w:rsid w:val="25AA541B"/>
    <w:rsid w:val="26525FB9"/>
    <w:rsid w:val="268A6534"/>
    <w:rsid w:val="26DB434F"/>
    <w:rsid w:val="28137B19"/>
    <w:rsid w:val="29DA067B"/>
    <w:rsid w:val="2AB14EE8"/>
    <w:rsid w:val="2B1700A6"/>
    <w:rsid w:val="2C2347D8"/>
    <w:rsid w:val="2C554319"/>
    <w:rsid w:val="2D1742A3"/>
    <w:rsid w:val="2D68220C"/>
    <w:rsid w:val="2FF912C5"/>
    <w:rsid w:val="310515A2"/>
    <w:rsid w:val="31116812"/>
    <w:rsid w:val="32D84603"/>
    <w:rsid w:val="34136117"/>
    <w:rsid w:val="344B0D57"/>
    <w:rsid w:val="349D0A12"/>
    <w:rsid w:val="35481956"/>
    <w:rsid w:val="354B1725"/>
    <w:rsid w:val="354F5EEE"/>
    <w:rsid w:val="363441FC"/>
    <w:rsid w:val="37636474"/>
    <w:rsid w:val="387C3A1C"/>
    <w:rsid w:val="392B4CC2"/>
    <w:rsid w:val="3A0177D1"/>
    <w:rsid w:val="3C364AF3"/>
    <w:rsid w:val="3D235CB1"/>
    <w:rsid w:val="3D87417C"/>
    <w:rsid w:val="3DA024E6"/>
    <w:rsid w:val="3FF1AC48"/>
    <w:rsid w:val="40D52195"/>
    <w:rsid w:val="41C022B0"/>
    <w:rsid w:val="42945CF4"/>
    <w:rsid w:val="48E82993"/>
    <w:rsid w:val="492E0095"/>
    <w:rsid w:val="493505E6"/>
    <w:rsid w:val="49A03CBE"/>
    <w:rsid w:val="49D22A13"/>
    <w:rsid w:val="4AC010D2"/>
    <w:rsid w:val="4AD609F1"/>
    <w:rsid w:val="4B76442C"/>
    <w:rsid w:val="4E9B5B46"/>
    <w:rsid w:val="4EB86932"/>
    <w:rsid w:val="4FD00E07"/>
    <w:rsid w:val="4FDF63AF"/>
    <w:rsid w:val="51712EA9"/>
    <w:rsid w:val="51822C9D"/>
    <w:rsid w:val="51BE1516"/>
    <w:rsid w:val="52C83373"/>
    <w:rsid w:val="52FE057D"/>
    <w:rsid w:val="53037BED"/>
    <w:rsid w:val="53E53868"/>
    <w:rsid w:val="560823BF"/>
    <w:rsid w:val="56DA693A"/>
    <w:rsid w:val="576E0706"/>
    <w:rsid w:val="57FFD4C4"/>
    <w:rsid w:val="58FB6877"/>
    <w:rsid w:val="59527BF2"/>
    <w:rsid w:val="595A5595"/>
    <w:rsid w:val="596040BD"/>
    <w:rsid w:val="5A7C51D9"/>
    <w:rsid w:val="5BE2068E"/>
    <w:rsid w:val="5E59F44A"/>
    <w:rsid w:val="5F2456E3"/>
    <w:rsid w:val="60D6099E"/>
    <w:rsid w:val="633A5CC5"/>
    <w:rsid w:val="6547407F"/>
    <w:rsid w:val="66DB5CA2"/>
    <w:rsid w:val="69222022"/>
    <w:rsid w:val="6BC77B34"/>
    <w:rsid w:val="6DD17A56"/>
    <w:rsid w:val="6EB83AD6"/>
    <w:rsid w:val="6FFEC1E7"/>
    <w:rsid w:val="70194B6E"/>
    <w:rsid w:val="719B567C"/>
    <w:rsid w:val="72603E10"/>
    <w:rsid w:val="7271644C"/>
    <w:rsid w:val="72D57472"/>
    <w:rsid w:val="74C94E9D"/>
    <w:rsid w:val="75D45A67"/>
    <w:rsid w:val="79016136"/>
    <w:rsid w:val="79C21DD2"/>
    <w:rsid w:val="7A087232"/>
    <w:rsid w:val="7AFF5DD1"/>
    <w:rsid w:val="7B5CBE52"/>
    <w:rsid w:val="7C682BA5"/>
    <w:rsid w:val="7EFFB628"/>
    <w:rsid w:val="7F390BA5"/>
    <w:rsid w:val="7F405DC4"/>
    <w:rsid w:val="7F5FD65D"/>
    <w:rsid w:val="7FDBEBAF"/>
    <w:rsid w:val="8F9EBB5D"/>
    <w:rsid w:val="BCF904BF"/>
    <w:rsid w:val="CEE5B796"/>
    <w:rsid w:val="CFDFE28C"/>
    <w:rsid w:val="DFABB987"/>
    <w:rsid w:val="F34F5A8C"/>
    <w:rsid w:val="F7AFB1C4"/>
    <w:rsid w:val="FAEEC2B9"/>
    <w:rsid w:val="FFDC333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1751</Words>
  <Characters>1780</Characters>
  <TotalTime>9</TotalTime>
  <ScaleCrop>false</ScaleCrop>
  <LinksUpToDate>false</LinksUpToDate>
  <CharactersWithSpaces>1835</CharactersWithSpaces>
  <Application>WPS Office_11.8.2.10587_F1E327BC-269C-435d-A152-05C5408002CA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2022-10-23T09:19:00Z</dcterms:created>
  <dc:creator>Kingsoft-PDF</dc:creator>
  <cp:keywords>6350a202b01fb9001516afb4</cp:keywords>
  <cp:lastModifiedBy>tyj34</cp:lastModifiedBy>
  <cp:lastPrinted>2024-10-17T03:25:00Z</cp:lastPrinted>
  <dcterms:modified xsi:type="dcterms:W3CDTF">2024-10-29T17:38:19Z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2022-10-20T09:19:13Z</vt:filetime>
  </property>
  <property fmtid="{D5CDD505-2E9C-101B-9397-08002B2CF9AE}" pid="4" name="KSOProductBuildVer">
    <vt:lpwstr>2052-11.8.2.10587</vt:lpwstr>
  </property>
  <property fmtid="{D5CDD505-2E9C-101B-9397-08002B2CF9AE}" pid="5" name="ICV">
    <vt:lpwstr>764FF7EA18FD4C4D8BE02D0EFEE3EA15</vt:lpwstr>
  </property>
</Properties>
</file>